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9474F" w14:textId="27718BFB" w:rsidR="00AC436B" w:rsidRPr="000B4B81" w:rsidRDefault="00AC436B" w:rsidP="00AC436B">
      <w:pPr>
        <w:pStyle w:val="Default"/>
        <w:spacing w:line="276" w:lineRule="auto"/>
        <w:jc w:val="both"/>
        <w:rPr>
          <w:sz w:val="20"/>
          <w:szCs w:val="20"/>
          <w:lang w:val="en-GB"/>
        </w:rPr>
      </w:pPr>
      <w:r w:rsidRPr="000B4B81">
        <w:rPr>
          <w:b/>
          <w:bCs/>
          <w:sz w:val="20"/>
          <w:szCs w:val="20"/>
          <w:lang w:val="en-GB"/>
        </w:rPr>
        <w:t xml:space="preserve">3.2 Carbonate and organic carbon </w:t>
      </w:r>
      <w:r w:rsidR="00E3479E" w:rsidRPr="000B4B81">
        <w:rPr>
          <w:b/>
          <w:sz w:val="20"/>
          <w:szCs w:val="20"/>
          <w:lang w:val="en-GB"/>
        </w:rPr>
        <w:t>δ</w:t>
      </w:r>
      <w:r w:rsidR="00E3479E" w:rsidRPr="000B4B81">
        <w:rPr>
          <w:b/>
          <w:sz w:val="20"/>
          <w:szCs w:val="20"/>
          <w:vertAlign w:val="superscript"/>
          <w:lang w:val="en-GB"/>
        </w:rPr>
        <w:t>13</w:t>
      </w:r>
      <w:r w:rsidR="00E3479E" w:rsidRPr="000B4B81">
        <w:rPr>
          <w:b/>
          <w:sz w:val="20"/>
          <w:szCs w:val="20"/>
          <w:lang w:val="en-GB"/>
        </w:rPr>
        <w:t>C</w:t>
      </w:r>
      <w:r w:rsidRPr="000B4B81">
        <w:rPr>
          <w:b/>
          <w:bCs/>
          <w:sz w:val="20"/>
          <w:szCs w:val="20"/>
          <w:lang w:val="en-GB"/>
        </w:rPr>
        <w:t xml:space="preserve"> </w:t>
      </w:r>
    </w:p>
    <w:p w14:paraId="010E624B" w14:textId="5413815C" w:rsidR="000B4B81" w:rsidRDefault="00AC436B" w:rsidP="00AC436B">
      <w:pPr>
        <w:pStyle w:val="Default"/>
        <w:spacing w:line="276" w:lineRule="auto"/>
        <w:jc w:val="both"/>
        <w:rPr>
          <w:sz w:val="20"/>
          <w:szCs w:val="20"/>
          <w:lang w:val="en-GB"/>
        </w:rPr>
      </w:pPr>
      <w:r w:rsidRPr="000B4B81">
        <w:rPr>
          <w:sz w:val="20"/>
          <w:szCs w:val="20"/>
          <w:lang w:val="en-GB"/>
        </w:rPr>
        <w:t xml:space="preserve">The </w:t>
      </w:r>
      <w:bookmarkStart w:id="0" w:name="_Hlk158805931"/>
      <w:r w:rsidRPr="000B4B81">
        <w:rPr>
          <w:sz w:val="20"/>
          <w:szCs w:val="20"/>
          <w:lang w:val="en-GB"/>
        </w:rPr>
        <w:t>δ</w:t>
      </w:r>
      <w:r w:rsidRPr="000B4B81">
        <w:rPr>
          <w:sz w:val="20"/>
          <w:szCs w:val="20"/>
          <w:vertAlign w:val="superscript"/>
          <w:lang w:val="en-GB"/>
        </w:rPr>
        <w:t>13</w:t>
      </w:r>
      <w:r w:rsidRPr="000B4B81">
        <w:rPr>
          <w:sz w:val="20"/>
          <w:szCs w:val="20"/>
          <w:lang w:val="en-GB"/>
        </w:rPr>
        <w:t xml:space="preserve">C </w:t>
      </w:r>
      <w:bookmarkEnd w:id="0"/>
      <w:r w:rsidRPr="000B4B81">
        <w:rPr>
          <w:sz w:val="20"/>
          <w:szCs w:val="20"/>
          <w:lang w:val="en-GB"/>
        </w:rPr>
        <w:t>composition of 144 carbonate-rich samples was analysed (δ</w:t>
      </w:r>
      <w:r w:rsidRPr="000B4B81">
        <w:rPr>
          <w:sz w:val="20"/>
          <w:szCs w:val="20"/>
          <w:vertAlign w:val="superscript"/>
          <w:lang w:val="en-GB"/>
        </w:rPr>
        <w:t>13</w:t>
      </w:r>
      <w:r w:rsidRPr="000B4B81">
        <w:rPr>
          <w:sz w:val="20"/>
          <w:szCs w:val="20"/>
          <w:lang w:val="en-GB"/>
        </w:rPr>
        <w:t>C</w:t>
      </w:r>
      <w:r w:rsidRPr="000B4B81">
        <w:rPr>
          <w:sz w:val="20"/>
          <w:szCs w:val="20"/>
          <w:vertAlign w:val="subscript"/>
          <w:lang w:val="en-GB"/>
        </w:rPr>
        <w:t>carb</w:t>
      </w:r>
      <w:r w:rsidRPr="000B4B81">
        <w:rPr>
          <w:sz w:val="20"/>
          <w:szCs w:val="20"/>
          <w:lang w:val="en-GB"/>
        </w:rPr>
        <w:t xml:space="preserve">). Measurements on powdered samples weighing 120-150 </w:t>
      </w:r>
      <w:proofErr w:type="spellStart"/>
      <w:r w:rsidRPr="000B4B81">
        <w:rPr>
          <w:sz w:val="20"/>
          <w:szCs w:val="20"/>
          <w:lang w:val="en-GB"/>
        </w:rPr>
        <w:t>μg</w:t>
      </w:r>
      <w:proofErr w:type="spellEnd"/>
      <w:r w:rsidRPr="000B4B81">
        <w:rPr>
          <w:sz w:val="20"/>
          <w:szCs w:val="20"/>
          <w:lang w:val="en-GB"/>
        </w:rPr>
        <w:t xml:space="preserve"> were carried out on a </w:t>
      </w:r>
      <w:proofErr w:type="spellStart"/>
      <w:r w:rsidRPr="000B4B81">
        <w:rPr>
          <w:sz w:val="20"/>
          <w:szCs w:val="20"/>
          <w:lang w:val="en-GB"/>
        </w:rPr>
        <w:t>ThermoScientific</w:t>
      </w:r>
      <w:proofErr w:type="spellEnd"/>
      <w:r w:rsidRPr="000B4B81">
        <w:rPr>
          <w:sz w:val="20"/>
          <w:szCs w:val="20"/>
          <w:lang w:val="en-GB"/>
        </w:rPr>
        <w:t xml:space="preserve"> Delta V Plus mass spectrometer at the University of Münster. An in-house carbonate standard, Kabonat-1 (δ</w:t>
      </w:r>
      <w:r w:rsidRPr="000B4B81">
        <w:rPr>
          <w:sz w:val="20"/>
          <w:szCs w:val="20"/>
          <w:vertAlign w:val="superscript"/>
          <w:lang w:val="en-GB"/>
        </w:rPr>
        <w:t>13</w:t>
      </w:r>
      <w:r w:rsidRPr="000B4B81">
        <w:rPr>
          <w:sz w:val="20"/>
          <w:szCs w:val="20"/>
          <w:lang w:val="en-GB"/>
        </w:rPr>
        <w:t>C = 1.46‰, δ</w:t>
      </w:r>
      <w:r w:rsidRPr="000B4B81">
        <w:rPr>
          <w:sz w:val="20"/>
          <w:szCs w:val="20"/>
          <w:vertAlign w:val="superscript"/>
          <w:lang w:val="en-GB"/>
        </w:rPr>
        <w:t>18</w:t>
      </w:r>
      <w:r w:rsidRPr="000B4B81">
        <w:rPr>
          <w:sz w:val="20"/>
          <w:szCs w:val="20"/>
          <w:lang w:val="en-GB"/>
        </w:rPr>
        <w:t>O = -1.19‰), was used for calibration. The external standard NBS-19 (δ</w:t>
      </w:r>
      <w:r w:rsidRPr="000B4B81">
        <w:rPr>
          <w:sz w:val="20"/>
          <w:szCs w:val="20"/>
          <w:vertAlign w:val="superscript"/>
          <w:lang w:val="en-GB"/>
        </w:rPr>
        <w:t>13</w:t>
      </w:r>
      <w:r w:rsidRPr="000B4B81">
        <w:rPr>
          <w:sz w:val="20"/>
          <w:szCs w:val="20"/>
          <w:lang w:val="en-GB"/>
        </w:rPr>
        <w:t>C = 1.95‰, δ</w:t>
      </w:r>
      <w:r w:rsidRPr="000B4B81">
        <w:rPr>
          <w:sz w:val="20"/>
          <w:szCs w:val="20"/>
          <w:vertAlign w:val="superscript"/>
          <w:lang w:val="en-GB"/>
        </w:rPr>
        <w:t>18</w:t>
      </w:r>
      <w:r w:rsidRPr="000B4B81">
        <w:rPr>
          <w:sz w:val="20"/>
          <w:szCs w:val="20"/>
          <w:lang w:val="en-GB"/>
        </w:rPr>
        <w:t xml:space="preserve">O = -2.20‰) was used </w:t>
      </w:r>
      <w:r w:rsidR="000B4B81">
        <w:rPr>
          <w:sz w:val="20"/>
          <w:szCs w:val="20"/>
          <w:lang w:val="en-GB"/>
        </w:rPr>
        <w:t>to monitor</w:t>
      </w:r>
      <w:r w:rsidR="000B4B81" w:rsidRPr="000B4B81">
        <w:rPr>
          <w:sz w:val="20"/>
          <w:szCs w:val="20"/>
          <w:lang w:val="en-GB"/>
        </w:rPr>
        <w:t xml:space="preserve"> </w:t>
      </w:r>
      <w:r w:rsidRPr="000B4B81">
        <w:rPr>
          <w:sz w:val="20"/>
          <w:szCs w:val="20"/>
          <w:lang w:val="en-GB"/>
        </w:rPr>
        <w:t>long-term performance. All δ</w:t>
      </w:r>
      <w:r w:rsidRPr="000B4B81">
        <w:rPr>
          <w:sz w:val="20"/>
          <w:szCs w:val="20"/>
          <w:vertAlign w:val="superscript"/>
          <w:lang w:val="en-GB"/>
        </w:rPr>
        <w:t>13</w:t>
      </w:r>
      <w:r w:rsidRPr="000B4B81">
        <w:rPr>
          <w:sz w:val="20"/>
          <w:szCs w:val="20"/>
          <w:lang w:val="en-GB"/>
        </w:rPr>
        <w:t>C values are reported relative to VPDB (Vienna Pee-Dee Belemnite). The in-house standard Karbonat-1 had a δ</w:t>
      </w:r>
      <w:r w:rsidRPr="000B4B81">
        <w:rPr>
          <w:sz w:val="20"/>
          <w:szCs w:val="20"/>
          <w:vertAlign w:val="superscript"/>
          <w:lang w:val="en-GB"/>
        </w:rPr>
        <w:t>13</w:t>
      </w:r>
      <w:r w:rsidRPr="000B4B81">
        <w:rPr>
          <w:sz w:val="20"/>
          <w:szCs w:val="20"/>
          <w:lang w:val="en-GB"/>
        </w:rPr>
        <w:t xml:space="preserve">C standard deviation (SD) of 0.04‰ (N=54). The external standard NBS-19 has an SD of 0.02‰ (N=10), and a mean offset of +0.04‰ relative to the accepted value. </w:t>
      </w:r>
      <w:r w:rsidR="000B4B81">
        <w:rPr>
          <w:sz w:val="20"/>
          <w:szCs w:val="20"/>
          <w:lang w:val="en-GB"/>
        </w:rPr>
        <w:t>Duplicate</w:t>
      </w:r>
      <w:r w:rsidR="000B4B81" w:rsidRPr="000B4B81">
        <w:rPr>
          <w:sz w:val="20"/>
          <w:szCs w:val="20"/>
          <w:lang w:val="en-GB"/>
        </w:rPr>
        <w:t xml:space="preserve"> δ</w:t>
      </w:r>
      <w:r w:rsidR="000B4B81" w:rsidRPr="000B4B81">
        <w:rPr>
          <w:sz w:val="20"/>
          <w:szCs w:val="20"/>
          <w:vertAlign w:val="superscript"/>
          <w:lang w:val="en-GB"/>
        </w:rPr>
        <w:t>13</w:t>
      </w:r>
      <w:r w:rsidR="000B4B81" w:rsidRPr="000B4B81">
        <w:rPr>
          <w:sz w:val="20"/>
          <w:szCs w:val="20"/>
          <w:lang w:val="en-GB"/>
        </w:rPr>
        <w:t>C</w:t>
      </w:r>
      <w:r w:rsidR="000B4B81" w:rsidRPr="000B4B81">
        <w:rPr>
          <w:sz w:val="20"/>
          <w:szCs w:val="20"/>
          <w:vertAlign w:val="subscript"/>
          <w:lang w:val="en-GB"/>
        </w:rPr>
        <w:t>carb</w:t>
      </w:r>
      <w:r w:rsidR="000B4B81">
        <w:rPr>
          <w:sz w:val="20"/>
          <w:szCs w:val="20"/>
          <w:lang w:val="en-GB"/>
        </w:rPr>
        <w:t xml:space="preserve"> measurements of 15 samples were consistent with the SD of </w:t>
      </w:r>
      <w:r w:rsidR="000B4B81" w:rsidRPr="000B4B81">
        <w:rPr>
          <w:sz w:val="20"/>
          <w:szCs w:val="20"/>
          <w:lang w:val="en-GB"/>
        </w:rPr>
        <w:t>0.04‰</w:t>
      </w:r>
      <w:r w:rsidR="000B4B81">
        <w:rPr>
          <w:sz w:val="20"/>
          <w:szCs w:val="20"/>
          <w:lang w:val="en-GB"/>
        </w:rPr>
        <w:t xml:space="preserve"> determined from the Karbonat-1 standard.</w:t>
      </w:r>
    </w:p>
    <w:p w14:paraId="48516A88" w14:textId="52837F98" w:rsidR="00AC436B" w:rsidRPr="000B4B81" w:rsidRDefault="00AC436B" w:rsidP="00AC436B">
      <w:pPr>
        <w:pStyle w:val="Default"/>
        <w:spacing w:line="276" w:lineRule="auto"/>
        <w:jc w:val="both"/>
        <w:rPr>
          <w:sz w:val="20"/>
          <w:szCs w:val="20"/>
          <w:lang w:val="en-GB"/>
        </w:rPr>
      </w:pPr>
      <w:r w:rsidRPr="000B4B81">
        <w:rPr>
          <w:sz w:val="20"/>
          <w:szCs w:val="20"/>
          <w:lang w:val="en-GB"/>
        </w:rPr>
        <w:t xml:space="preserve">.  </w:t>
      </w:r>
    </w:p>
    <w:p w14:paraId="112A44F1" w14:textId="4E86BF2B" w:rsidR="001153AC" w:rsidRPr="001821C0" w:rsidRDefault="00AC436B" w:rsidP="00FC442C">
      <w:pPr>
        <w:pStyle w:val="Default"/>
        <w:spacing w:line="276" w:lineRule="auto"/>
        <w:jc w:val="both"/>
        <w:rPr>
          <w:sz w:val="20"/>
          <w:szCs w:val="20"/>
          <w:lang w:val="en-GB"/>
        </w:rPr>
      </w:pPr>
      <w:r w:rsidRPr="000B4B81">
        <w:rPr>
          <w:sz w:val="20"/>
          <w:szCs w:val="20"/>
          <w:lang w:val="en-GB"/>
        </w:rPr>
        <w:t>In addition, a lower-resolution (N = 48) organic-matter carbon isotope series (δ</w:t>
      </w:r>
      <w:r w:rsidRPr="000B4B81">
        <w:rPr>
          <w:sz w:val="20"/>
          <w:szCs w:val="20"/>
          <w:vertAlign w:val="superscript"/>
          <w:lang w:val="en-GB"/>
        </w:rPr>
        <w:t>13</w:t>
      </w:r>
      <w:r w:rsidRPr="000B4B81">
        <w:rPr>
          <w:sz w:val="20"/>
          <w:szCs w:val="20"/>
          <w:lang w:val="en-GB"/>
        </w:rPr>
        <w:t>C</w:t>
      </w:r>
      <w:r w:rsidRPr="000B4B81">
        <w:rPr>
          <w:sz w:val="20"/>
          <w:szCs w:val="20"/>
          <w:vertAlign w:val="subscript"/>
          <w:lang w:val="en-GB"/>
        </w:rPr>
        <w:t>org</w:t>
      </w:r>
      <w:r w:rsidRPr="000B4B81">
        <w:rPr>
          <w:sz w:val="20"/>
          <w:szCs w:val="20"/>
          <w:lang w:val="en-GB"/>
        </w:rPr>
        <w:t xml:space="preserve">) was constructed </w:t>
      </w:r>
      <w:r w:rsidR="000B4B81">
        <w:rPr>
          <w:sz w:val="20"/>
          <w:szCs w:val="20"/>
          <w:lang w:val="en-GB"/>
        </w:rPr>
        <w:t xml:space="preserve">from measurements performed </w:t>
      </w:r>
      <w:r w:rsidRPr="000B4B81">
        <w:rPr>
          <w:sz w:val="20"/>
          <w:szCs w:val="20"/>
          <w:lang w:val="en-GB"/>
        </w:rPr>
        <w:t xml:space="preserve">at the </w:t>
      </w:r>
      <w:r w:rsidRPr="001821C0">
        <w:rPr>
          <w:sz w:val="20"/>
          <w:szCs w:val="20"/>
          <w:lang w:val="en-GB"/>
        </w:rPr>
        <w:t xml:space="preserve">Archaeology, Environmental Changes and Geo-Chemistry Research Group (AMGC) of the Vrije Universiteit Brussel (Belgium). 35 of these samples had sufficient organic content to determine </w:t>
      </w:r>
      <w:r w:rsidRPr="00FC442C">
        <w:rPr>
          <w:sz w:val="20"/>
          <w:szCs w:val="20"/>
        </w:rPr>
        <w:t>δ</w:t>
      </w:r>
      <w:r w:rsidRPr="001821C0">
        <w:rPr>
          <w:sz w:val="20"/>
          <w:szCs w:val="20"/>
          <w:vertAlign w:val="superscript"/>
          <w:lang w:val="en-GB"/>
        </w:rPr>
        <w:t>13</w:t>
      </w:r>
      <w:r w:rsidRPr="001821C0">
        <w:rPr>
          <w:sz w:val="20"/>
          <w:szCs w:val="20"/>
          <w:lang w:val="en-GB"/>
        </w:rPr>
        <w:t>C</w:t>
      </w:r>
      <w:r w:rsidRPr="001821C0">
        <w:rPr>
          <w:sz w:val="20"/>
          <w:szCs w:val="20"/>
          <w:vertAlign w:val="subscript"/>
          <w:lang w:val="en-GB"/>
        </w:rPr>
        <w:t>org</w:t>
      </w:r>
      <w:r w:rsidRPr="001821C0">
        <w:rPr>
          <w:sz w:val="20"/>
          <w:szCs w:val="20"/>
          <w:lang w:val="en-GB"/>
        </w:rPr>
        <w:t xml:space="preserve">. </w:t>
      </w:r>
      <w:r w:rsidRPr="00FC442C">
        <w:rPr>
          <w:sz w:val="20"/>
          <w:szCs w:val="20"/>
          <w:lang w:val="en-GB"/>
        </w:rPr>
        <w:t xml:space="preserve">The procedure </w:t>
      </w:r>
      <w:r w:rsidR="000B4B81" w:rsidRPr="00FC442C">
        <w:rPr>
          <w:sz w:val="20"/>
          <w:szCs w:val="20"/>
          <w:lang w:val="en-GB"/>
        </w:rPr>
        <w:t xml:space="preserve">described </w:t>
      </w:r>
      <w:r w:rsidRPr="00FC442C">
        <w:rPr>
          <w:sz w:val="20"/>
          <w:szCs w:val="20"/>
          <w:lang w:val="en-GB"/>
        </w:rPr>
        <w:t xml:space="preserve">in Liu et al. (2021) was followed. </w:t>
      </w:r>
      <w:r w:rsidR="000B4B81" w:rsidRPr="00FC442C">
        <w:rPr>
          <w:sz w:val="20"/>
          <w:szCs w:val="20"/>
          <w:lang w:val="en-GB"/>
        </w:rPr>
        <w:t>Briefly, t</w:t>
      </w:r>
      <w:r w:rsidRPr="00FC442C">
        <w:rPr>
          <w:sz w:val="20"/>
          <w:szCs w:val="20"/>
          <w:lang w:val="en-GB"/>
        </w:rPr>
        <w:t xml:space="preserve">he samples were decarbonated with 10% HCl in two steps, rinsed with </w:t>
      </w:r>
      <w:proofErr w:type="spellStart"/>
      <w:r w:rsidRPr="00FC442C">
        <w:rPr>
          <w:sz w:val="20"/>
          <w:szCs w:val="20"/>
          <w:lang w:val="en-GB"/>
        </w:rPr>
        <w:t>milliQ</w:t>
      </w:r>
      <w:proofErr w:type="spellEnd"/>
      <w:r w:rsidRPr="00FC442C">
        <w:rPr>
          <w:sz w:val="20"/>
          <w:szCs w:val="20"/>
          <w:lang w:val="en-GB"/>
        </w:rPr>
        <w:t xml:space="preserve"> water, and dried in an oven at 50°C. Weighing before and after decarbonation resulted in a rough CaCO3 content estimate for each sample, assuming limited dissolution of other minerals. </w:t>
      </w:r>
      <w:r w:rsidRPr="001821C0">
        <w:rPr>
          <w:sz w:val="20"/>
          <w:szCs w:val="20"/>
          <w:lang w:val="en-GB"/>
        </w:rPr>
        <w:t xml:space="preserve">This content was compared to the CaCO3 estimate obtained through pXRF (section 3.3.2). Total organic carbon (TOC) contents and </w:t>
      </w:r>
      <w:r w:rsidRPr="00FC442C">
        <w:rPr>
          <w:sz w:val="20"/>
          <w:szCs w:val="20"/>
        </w:rPr>
        <w:t>δ</w:t>
      </w:r>
      <w:r w:rsidRPr="001821C0">
        <w:rPr>
          <w:sz w:val="20"/>
          <w:szCs w:val="20"/>
          <w:vertAlign w:val="superscript"/>
          <w:lang w:val="en-GB"/>
        </w:rPr>
        <w:t>13</w:t>
      </w:r>
      <w:r w:rsidRPr="001821C0">
        <w:rPr>
          <w:sz w:val="20"/>
          <w:szCs w:val="20"/>
          <w:lang w:val="en-GB"/>
        </w:rPr>
        <w:t>C</w:t>
      </w:r>
      <w:r w:rsidRPr="001821C0">
        <w:rPr>
          <w:sz w:val="20"/>
          <w:szCs w:val="20"/>
          <w:vertAlign w:val="subscript"/>
          <w:lang w:val="en-GB"/>
        </w:rPr>
        <w:t>org</w:t>
      </w:r>
      <w:r w:rsidRPr="001821C0">
        <w:rPr>
          <w:sz w:val="20"/>
          <w:szCs w:val="20"/>
          <w:lang w:val="en-GB"/>
        </w:rPr>
        <w:t xml:space="preserve"> compositions were determined on a Euro EA Elemental Analyzer (CHNS) - Euro Vector HT-PyrOH combustion system coupled to a Nu-Instruments Horizon 2 isotope ratio mass spectrometer. The results were calibrated using two international standards, IAEA-C6 (sucrose: </w:t>
      </w:r>
      <w:r w:rsidRPr="00FC442C">
        <w:rPr>
          <w:sz w:val="20"/>
          <w:szCs w:val="20"/>
        </w:rPr>
        <w:t>δ</w:t>
      </w:r>
      <w:r w:rsidRPr="001821C0">
        <w:rPr>
          <w:sz w:val="20"/>
          <w:szCs w:val="20"/>
          <w:vertAlign w:val="superscript"/>
          <w:lang w:val="en-GB"/>
        </w:rPr>
        <w:t>13</w:t>
      </w:r>
      <w:r w:rsidRPr="001821C0">
        <w:rPr>
          <w:sz w:val="20"/>
          <w:szCs w:val="20"/>
          <w:lang w:val="en-GB"/>
        </w:rPr>
        <w:t xml:space="preserve">C = -10.45‰) and IA-R068 (soy protein: </w:t>
      </w:r>
      <w:r w:rsidRPr="00FC442C">
        <w:rPr>
          <w:sz w:val="20"/>
          <w:szCs w:val="20"/>
        </w:rPr>
        <w:t>δ</w:t>
      </w:r>
      <w:r w:rsidRPr="001821C0">
        <w:rPr>
          <w:sz w:val="20"/>
          <w:szCs w:val="20"/>
          <w:vertAlign w:val="superscript"/>
          <w:lang w:val="en-GB"/>
        </w:rPr>
        <w:t>13</w:t>
      </w:r>
      <w:r w:rsidRPr="001821C0">
        <w:rPr>
          <w:sz w:val="20"/>
          <w:szCs w:val="20"/>
          <w:lang w:val="en-GB"/>
        </w:rPr>
        <w:t xml:space="preserve">C = -25.22‰), together with reference material IVA33802151, which is calibrated against these international standards (organic-rich sediment: </w:t>
      </w:r>
      <w:r w:rsidRPr="00FC442C">
        <w:rPr>
          <w:sz w:val="20"/>
          <w:szCs w:val="20"/>
        </w:rPr>
        <w:t>δ</w:t>
      </w:r>
      <w:r w:rsidRPr="001821C0">
        <w:rPr>
          <w:sz w:val="20"/>
          <w:szCs w:val="20"/>
          <w:vertAlign w:val="superscript"/>
          <w:lang w:val="en-GB"/>
        </w:rPr>
        <w:t>13</w:t>
      </w:r>
      <w:r w:rsidRPr="001821C0">
        <w:rPr>
          <w:sz w:val="20"/>
          <w:szCs w:val="20"/>
          <w:lang w:val="en-GB"/>
        </w:rPr>
        <w:t>C = -28.85‰). This calibration was verified with a further reference material, IVA33802153 (organic-</w:t>
      </w:r>
      <w:r w:rsidR="000471C0" w:rsidRPr="001821C0">
        <w:rPr>
          <w:sz w:val="20"/>
          <w:szCs w:val="20"/>
          <w:lang w:val="en-GB"/>
        </w:rPr>
        <w:t xml:space="preserve">poor </w:t>
      </w:r>
      <w:r w:rsidRPr="001821C0">
        <w:rPr>
          <w:sz w:val="20"/>
          <w:szCs w:val="20"/>
          <w:lang w:val="en-GB"/>
        </w:rPr>
        <w:t xml:space="preserve">soil: </w:t>
      </w:r>
      <w:r w:rsidRPr="00FC442C">
        <w:rPr>
          <w:sz w:val="20"/>
          <w:szCs w:val="20"/>
        </w:rPr>
        <w:t>δ</w:t>
      </w:r>
      <w:r w:rsidRPr="001821C0">
        <w:rPr>
          <w:sz w:val="20"/>
          <w:szCs w:val="20"/>
          <w:vertAlign w:val="superscript"/>
          <w:lang w:val="en-GB"/>
        </w:rPr>
        <w:t>13</w:t>
      </w:r>
      <w:r w:rsidRPr="001821C0">
        <w:rPr>
          <w:sz w:val="20"/>
          <w:szCs w:val="20"/>
          <w:lang w:val="en-GB"/>
        </w:rPr>
        <w:t xml:space="preserve">C = -22.88‰). All </w:t>
      </w:r>
      <w:r w:rsidRPr="00FC442C">
        <w:rPr>
          <w:sz w:val="20"/>
          <w:szCs w:val="20"/>
        </w:rPr>
        <w:t>δ</w:t>
      </w:r>
      <w:r w:rsidRPr="001821C0">
        <w:rPr>
          <w:sz w:val="20"/>
          <w:szCs w:val="20"/>
          <w:vertAlign w:val="superscript"/>
          <w:lang w:val="en-GB"/>
        </w:rPr>
        <w:t>13</w:t>
      </w:r>
      <w:r w:rsidRPr="001821C0">
        <w:rPr>
          <w:sz w:val="20"/>
          <w:szCs w:val="20"/>
          <w:lang w:val="en-GB"/>
        </w:rPr>
        <w:t>C values are reported relative to VPDB. Standard deviations for all standards were as follows: IAEA-C6 (sucrose) 0.095‰, IA-R068 (soy protein) 0.065‰, IVA33802151 (organic-rich sediment) 0.042‰, IVA33802153 (organic-</w:t>
      </w:r>
      <w:r w:rsidR="000471C0" w:rsidRPr="001821C0">
        <w:rPr>
          <w:sz w:val="20"/>
          <w:szCs w:val="20"/>
          <w:lang w:val="en-GB"/>
        </w:rPr>
        <w:t xml:space="preserve">poor </w:t>
      </w:r>
      <w:r w:rsidRPr="001821C0">
        <w:rPr>
          <w:sz w:val="20"/>
          <w:szCs w:val="20"/>
          <w:lang w:val="en-GB"/>
        </w:rPr>
        <w:t xml:space="preserve">soil) 0.201‰. The samples have a </w:t>
      </w:r>
      <w:r w:rsidRPr="00FC442C">
        <w:rPr>
          <w:sz w:val="20"/>
          <w:szCs w:val="20"/>
        </w:rPr>
        <w:t>δ</w:t>
      </w:r>
      <w:r w:rsidRPr="001821C0">
        <w:rPr>
          <w:sz w:val="20"/>
          <w:szCs w:val="20"/>
          <w:vertAlign w:val="superscript"/>
          <w:lang w:val="en-GB"/>
        </w:rPr>
        <w:t>13</w:t>
      </w:r>
      <w:r w:rsidRPr="001821C0">
        <w:rPr>
          <w:sz w:val="20"/>
          <w:szCs w:val="20"/>
          <w:lang w:val="en-GB"/>
        </w:rPr>
        <w:t>C SD of 0.039‰ based on duplicate measurements of 5 samples.</w:t>
      </w:r>
    </w:p>
    <w:p w14:paraId="2260B5E1" w14:textId="732E49BC" w:rsidR="0047012A" w:rsidRPr="001821C0" w:rsidRDefault="0047012A" w:rsidP="00FC442C">
      <w:pPr>
        <w:pStyle w:val="Default"/>
        <w:spacing w:line="276" w:lineRule="auto"/>
        <w:jc w:val="both"/>
        <w:rPr>
          <w:sz w:val="20"/>
          <w:szCs w:val="20"/>
          <w:lang w:val="en-GB"/>
        </w:rPr>
      </w:pPr>
    </w:p>
    <w:p w14:paraId="51CF98B2" w14:textId="2421D7FB" w:rsidR="0047012A" w:rsidRPr="001821C0" w:rsidRDefault="0047012A" w:rsidP="00FC442C">
      <w:pPr>
        <w:pStyle w:val="Default"/>
        <w:spacing w:line="276" w:lineRule="auto"/>
        <w:jc w:val="both"/>
        <w:rPr>
          <w:sz w:val="20"/>
          <w:szCs w:val="20"/>
          <w:lang w:val="en-GB"/>
        </w:rPr>
      </w:pPr>
    </w:p>
    <w:p w14:paraId="41678091" w14:textId="3ABBFFFC" w:rsidR="0047012A" w:rsidRPr="001821C0" w:rsidRDefault="0047012A" w:rsidP="00FC442C">
      <w:pPr>
        <w:pStyle w:val="Default"/>
        <w:spacing w:line="276" w:lineRule="auto"/>
        <w:jc w:val="both"/>
        <w:rPr>
          <w:sz w:val="20"/>
          <w:szCs w:val="20"/>
          <w:lang w:val="en-GB"/>
        </w:rPr>
      </w:pPr>
    </w:p>
    <w:p w14:paraId="54D046EB" w14:textId="2BA19795" w:rsidR="0047012A" w:rsidRPr="001821C0" w:rsidRDefault="0047012A" w:rsidP="00FC442C">
      <w:pPr>
        <w:pStyle w:val="Default"/>
        <w:spacing w:line="276" w:lineRule="auto"/>
        <w:jc w:val="both"/>
        <w:rPr>
          <w:sz w:val="20"/>
          <w:szCs w:val="20"/>
          <w:lang w:val="en-GB"/>
        </w:rPr>
      </w:pPr>
    </w:p>
    <w:p w14:paraId="7140F303" w14:textId="63B7A9A8" w:rsidR="0047012A" w:rsidRPr="001821C0" w:rsidRDefault="0047012A" w:rsidP="00FC442C">
      <w:pPr>
        <w:pStyle w:val="Default"/>
        <w:spacing w:line="276" w:lineRule="auto"/>
        <w:jc w:val="both"/>
        <w:rPr>
          <w:sz w:val="20"/>
          <w:szCs w:val="20"/>
          <w:lang w:val="en-GB"/>
        </w:rPr>
      </w:pPr>
    </w:p>
    <w:p w14:paraId="17F47DB5" w14:textId="19873CE8" w:rsidR="0047012A" w:rsidRPr="001821C0" w:rsidRDefault="0047012A" w:rsidP="00FC442C">
      <w:pPr>
        <w:pStyle w:val="Default"/>
        <w:spacing w:line="276" w:lineRule="auto"/>
        <w:jc w:val="both"/>
        <w:rPr>
          <w:sz w:val="20"/>
          <w:szCs w:val="20"/>
          <w:lang w:val="en-GB"/>
        </w:rPr>
      </w:pPr>
    </w:p>
    <w:p w14:paraId="743853F0" w14:textId="2FF91F37" w:rsidR="0047012A" w:rsidRPr="001821C0" w:rsidRDefault="0047012A" w:rsidP="00FC442C">
      <w:pPr>
        <w:pStyle w:val="Default"/>
        <w:spacing w:line="276" w:lineRule="auto"/>
        <w:jc w:val="both"/>
        <w:rPr>
          <w:sz w:val="20"/>
          <w:szCs w:val="20"/>
          <w:lang w:val="en-GB"/>
        </w:rPr>
      </w:pPr>
    </w:p>
    <w:p w14:paraId="041AA466" w14:textId="4F670D8B" w:rsidR="0047012A" w:rsidRPr="00F97A6D" w:rsidRDefault="0047012A" w:rsidP="00FC442C">
      <w:pPr>
        <w:pStyle w:val="Default"/>
        <w:spacing w:line="276" w:lineRule="auto"/>
        <w:jc w:val="both"/>
        <w:rPr>
          <w:i/>
          <w:color w:val="FF0000"/>
          <w:sz w:val="20"/>
          <w:szCs w:val="20"/>
          <w:lang w:val="en-GB"/>
        </w:rPr>
      </w:pPr>
    </w:p>
    <w:sectPr w:rsidR="0047012A" w:rsidRPr="00F97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DF"/>
    <w:rsid w:val="000167E1"/>
    <w:rsid w:val="000471C0"/>
    <w:rsid w:val="000850E9"/>
    <w:rsid w:val="000B4B81"/>
    <w:rsid w:val="001153AC"/>
    <w:rsid w:val="001821C0"/>
    <w:rsid w:val="0047012A"/>
    <w:rsid w:val="00580E54"/>
    <w:rsid w:val="005A6F9D"/>
    <w:rsid w:val="006C64DC"/>
    <w:rsid w:val="006F7F5E"/>
    <w:rsid w:val="00874D29"/>
    <w:rsid w:val="00985B11"/>
    <w:rsid w:val="00A324DF"/>
    <w:rsid w:val="00AC436B"/>
    <w:rsid w:val="00E3479E"/>
    <w:rsid w:val="00F97A6D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54B7"/>
  <w15:chartTrackingRefBased/>
  <w15:docId w15:val="{7D50B82D-B6DB-4FEB-9F0F-75C2BBB1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36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B4B81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5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5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E000A93E6484D97F995FFDC66E897" ma:contentTypeVersion="14" ma:contentTypeDescription="Ein neues Dokument erstellen." ma:contentTypeScope="" ma:versionID="19e4992a5b2a78628ca178e3f581d3d0">
  <xsd:schema xmlns:xsd="http://www.w3.org/2001/XMLSchema" xmlns:xs="http://www.w3.org/2001/XMLSchema" xmlns:p="http://schemas.microsoft.com/office/2006/metadata/properties" xmlns:ns3="8a8ffcf3-b179-4101-9ae4-1b141210d34f" targetNamespace="http://schemas.microsoft.com/office/2006/metadata/properties" ma:root="true" ma:fieldsID="cb18982a8859f22d82915ba399dcd73b" ns3:_="">
    <xsd:import namespace="8a8ffcf3-b179-4101-9ae4-1b141210d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fcf3-b179-4101-9ae4-1b141210d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20EB7-035B-43D8-9E43-C97131413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ffcf3-b179-4101-9ae4-1b141210d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CE514-B596-4C0B-9C85-A3786EB56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2AD64-6D74-4AD9-A152-B21D5D27B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M. A. Wichern</dc:creator>
  <cp:keywords/>
  <dc:description/>
  <cp:lastModifiedBy>Janina Schulz</cp:lastModifiedBy>
  <cp:revision>7</cp:revision>
  <dcterms:created xsi:type="dcterms:W3CDTF">2024-02-20T06:13:00Z</dcterms:created>
  <dcterms:modified xsi:type="dcterms:W3CDTF">2024-02-22T14:38:00Z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0x01010084BE000A93E6484D97F995FFDC66E897</vt:lpwstr>
  </property>
</Properties>
</file>