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7EE6C" w14:textId="6AA5290E" w:rsidR="00DD5354" w:rsidRPr="00DD5354" w:rsidRDefault="00DD5354" w:rsidP="00DD5354">
      <w:pPr>
        <w:pStyle w:val="CommentText"/>
        <w:spacing w:line="480" w:lineRule="auto"/>
        <w:rPr>
          <w:b/>
          <w:sz w:val="28"/>
          <w:szCs w:val="28"/>
        </w:rPr>
      </w:pPr>
      <w:bookmarkStart w:id="0" w:name="_Toc287775645"/>
      <w:r w:rsidRPr="00DD5354">
        <w:rPr>
          <w:b/>
          <w:sz w:val="28"/>
          <w:szCs w:val="28"/>
        </w:rPr>
        <w:t xml:space="preserve">A record of Neogene seawater </w:t>
      </w:r>
      <w:r w:rsidRPr="00DD5354">
        <w:rPr>
          <w:b/>
          <w:color w:val="000000"/>
          <w:sz w:val="28"/>
          <w:szCs w:val="28"/>
        </w:rPr>
        <w:t>δ</w:t>
      </w:r>
      <w:r w:rsidRPr="00DD5354">
        <w:rPr>
          <w:b/>
          <w:color w:val="000000"/>
          <w:sz w:val="28"/>
          <w:szCs w:val="28"/>
          <w:vertAlign w:val="superscript"/>
        </w:rPr>
        <w:t>11</w:t>
      </w:r>
      <w:r w:rsidRPr="00DD5354">
        <w:rPr>
          <w:b/>
          <w:color w:val="000000"/>
          <w:sz w:val="28"/>
          <w:szCs w:val="28"/>
        </w:rPr>
        <w:t>B</w:t>
      </w:r>
      <w:r w:rsidRPr="00DD5354">
        <w:rPr>
          <w:b/>
          <w:sz w:val="28"/>
          <w:szCs w:val="28"/>
        </w:rPr>
        <w:t xml:space="preserve"> </w:t>
      </w:r>
      <w:r w:rsidR="00073F88">
        <w:rPr>
          <w:b/>
          <w:sz w:val="28"/>
          <w:szCs w:val="28"/>
        </w:rPr>
        <w:t>reconstructed</w:t>
      </w:r>
      <w:r w:rsidRPr="00DD5354">
        <w:rPr>
          <w:b/>
          <w:sz w:val="28"/>
          <w:szCs w:val="28"/>
        </w:rPr>
        <w:t xml:space="preserve"> from paired </w:t>
      </w:r>
      <w:r w:rsidR="003637BE" w:rsidRPr="00DD5354">
        <w:rPr>
          <w:b/>
          <w:color w:val="000000"/>
          <w:sz w:val="28"/>
          <w:szCs w:val="28"/>
        </w:rPr>
        <w:t>δ</w:t>
      </w:r>
      <w:r w:rsidR="003637BE" w:rsidRPr="00DD5354">
        <w:rPr>
          <w:b/>
          <w:color w:val="000000"/>
          <w:sz w:val="28"/>
          <w:szCs w:val="28"/>
          <w:vertAlign w:val="superscript"/>
        </w:rPr>
        <w:t>11</w:t>
      </w:r>
      <w:r w:rsidR="003637BE" w:rsidRPr="00DD5354">
        <w:rPr>
          <w:b/>
          <w:color w:val="000000"/>
          <w:sz w:val="28"/>
          <w:szCs w:val="28"/>
        </w:rPr>
        <w:t>B</w:t>
      </w:r>
      <w:r w:rsidR="003637BE">
        <w:rPr>
          <w:b/>
          <w:sz w:val="28"/>
          <w:szCs w:val="28"/>
        </w:rPr>
        <w:t xml:space="preserve"> analyses </w:t>
      </w:r>
      <w:r w:rsidR="007C2A60">
        <w:rPr>
          <w:b/>
          <w:sz w:val="28"/>
          <w:szCs w:val="28"/>
        </w:rPr>
        <w:t>on</w:t>
      </w:r>
      <w:r w:rsidR="003637BE">
        <w:rPr>
          <w:b/>
          <w:sz w:val="28"/>
          <w:szCs w:val="28"/>
        </w:rPr>
        <w:t xml:space="preserve"> </w:t>
      </w:r>
      <w:r w:rsidR="003637BE" w:rsidRPr="00DD5354">
        <w:rPr>
          <w:b/>
          <w:sz w:val="28"/>
          <w:szCs w:val="28"/>
        </w:rPr>
        <w:t>benthic and planktic foraminifera</w:t>
      </w:r>
      <w:r w:rsidR="003637BE">
        <w:rPr>
          <w:b/>
          <w:sz w:val="28"/>
          <w:szCs w:val="28"/>
        </w:rPr>
        <w:t>.</w:t>
      </w:r>
    </w:p>
    <w:p w14:paraId="65576E96" w14:textId="77777777" w:rsidR="00DD5354" w:rsidRDefault="00DD5354" w:rsidP="00DD5354">
      <w:pPr>
        <w:pStyle w:val="CommentText"/>
      </w:pPr>
    </w:p>
    <w:bookmarkEnd w:id="0"/>
    <w:p w14:paraId="3C2A5643" w14:textId="211A5D73" w:rsidR="00524E65" w:rsidRPr="00CE1586" w:rsidRDefault="00524E65" w:rsidP="00524E65">
      <w:r>
        <w:t>Greenop R</w:t>
      </w:r>
      <w:r w:rsidR="00811286">
        <w:t>osanna</w:t>
      </w:r>
      <w:r w:rsidR="005B5026">
        <w:rPr>
          <w:vertAlign w:val="superscript"/>
        </w:rPr>
        <w:t>1,2</w:t>
      </w:r>
      <w:r w:rsidR="00CC76EF">
        <w:rPr>
          <w:vertAlign w:val="superscript"/>
        </w:rPr>
        <w:t>*</w:t>
      </w:r>
      <w:r>
        <w:t xml:space="preserve">, </w:t>
      </w:r>
      <w:r w:rsidR="009A2CB8">
        <w:t>Hain, Mathis P.</w:t>
      </w:r>
      <w:r w:rsidR="009A2CB8">
        <w:rPr>
          <w:vertAlign w:val="superscript"/>
        </w:rPr>
        <w:t>1</w:t>
      </w:r>
      <w:r w:rsidR="009A2CB8">
        <w:t xml:space="preserve">, </w:t>
      </w:r>
      <w:r>
        <w:t>Sosdian, S</w:t>
      </w:r>
      <w:r w:rsidR="00811286">
        <w:t xml:space="preserve">india </w:t>
      </w:r>
      <w:r>
        <w:t>M.</w:t>
      </w:r>
      <w:r w:rsidR="005B5026">
        <w:rPr>
          <w:vertAlign w:val="superscript"/>
        </w:rPr>
        <w:t>3</w:t>
      </w:r>
      <w:r>
        <w:t>, Oliver, K</w:t>
      </w:r>
      <w:r w:rsidR="00811286">
        <w:t xml:space="preserve">evin </w:t>
      </w:r>
      <w:r>
        <w:t>I.C.</w:t>
      </w:r>
      <w:r w:rsidR="005B5026">
        <w:rPr>
          <w:vertAlign w:val="superscript"/>
        </w:rPr>
        <w:t>1</w:t>
      </w:r>
      <w:r>
        <w:t>,</w:t>
      </w:r>
      <w:r w:rsidR="00AF6145">
        <w:t xml:space="preserve"> Goodwin, P</w:t>
      </w:r>
      <w:r w:rsidR="00811286">
        <w:t>hilip</w:t>
      </w:r>
      <w:r w:rsidR="005B5026">
        <w:rPr>
          <w:vertAlign w:val="superscript"/>
        </w:rPr>
        <w:t>1</w:t>
      </w:r>
      <w:r w:rsidR="00AF6145">
        <w:t>,</w:t>
      </w:r>
      <w:r>
        <w:t xml:space="preserve"> Chalk, T</w:t>
      </w:r>
      <w:r w:rsidR="00811286">
        <w:t xml:space="preserve">homas </w:t>
      </w:r>
      <w:r>
        <w:t>B.</w:t>
      </w:r>
      <w:r w:rsidR="005B5026">
        <w:rPr>
          <w:vertAlign w:val="superscript"/>
        </w:rPr>
        <w:t>1,4</w:t>
      </w:r>
      <w:r>
        <w:t>, Lear, C</w:t>
      </w:r>
      <w:r w:rsidR="00811286">
        <w:t xml:space="preserve">aroline </w:t>
      </w:r>
      <w:r>
        <w:t>H.</w:t>
      </w:r>
      <w:r w:rsidR="005B5026">
        <w:rPr>
          <w:vertAlign w:val="superscript"/>
        </w:rPr>
        <w:t>3</w:t>
      </w:r>
      <w:r>
        <w:t>, Wilson, P</w:t>
      </w:r>
      <w:r w:rsidR="00811286">
        <w:t xml:space="preserve">aul </w:t>
      </w:r>
      <w:r>
        <w:t>A.</w:t>
      </w:r>
      <w:r w:rsidR="005B5026">
        <w:rPr>
          <w:vertAlign w:val="superscript"/>
        </w:rPr>
        <w:t>1</w:t>
      </w:r>
      <w:r w:rsidR="009A2CB8">
        <w:t>,</w:t>
      </w:r>
      <w:r w:rsidR="009A2CB8" w:rsidRPr="009A2CB8">
        <w:t xml:space="preserve"> </w:t>
      </w:r>
      <w:r w:rsidR="009A2CB8">
        <w:t>Foster, Gavin L.</w:t>
      </w:r>
      <w:r w:rsidR="009A2CB8">
        <w:rPr>
          <w:vertAlign w:val="superscript"/>
        </w:rPr>
        <w:t>1</w:t>
      </w:r>
      <w:r w:rsidR="009A2CB8">
        <w:t>,</w:t>
      </w:r>
    </w:p>
    <w:p w14:paraId="5A80E7B2" w14:textId="6C78DB61" w:rsidR="00CC76EF" w:rsidRPr="00CC76EF" w:rsidRDefault="00CC76EF" w:rsidP="005B5026">
      <w:pPr>
        <w:pStyle w:val="AuthorAffiliation"/>
        <w:spacing w:line="480" w:lineRule="auto"/>
        <w:rPr>
          <w:i w:val="0"/>
        </w:rPr>
      </w:pPr>
      <w:r>
        <w:rPr>
          <w:vertAlign w:val="superscript"/>
        </w:rPr>
        <w:t>*</w:t>
      </w:r>
      <w:r>
        <w:rPr>
          <w:i w:val="0"/>
        </w:rPr>
        <w:t>Corresponding author</w:t>
      </w:r>
    </w:p>
    <w:p w14:paraId="48458B49" w14:textId="605DDF56" w:rsidR="005B5026" w:rsidRPr="00CC76EF" w:rsidRDefault="005B5026" w:rsidP="005B5026">
      <w:pPr>
        <w:pStyle w:val="AuthorAffiliation"/>
        <w:spacing w:line="480" w:lineRule="auto"/>
        <w:rPr>
          <w:vertAlign w:val="superscript"/>
        </w:rPr>
      </w:pPr>
      <w:r>
        <w:rPr>
          <w:vertAlign w:val="superscript"/>
        </w:rPr>
        <w:t>1</w:t>
      </w:r>
      <w:r w:rsidR="00DA2F3F">
        <w:rPr>
          <w:vertAlign w:val="superscript"/>
        </w:rPr>
        <w:t xml:space="preserve"> </w:t>
      </w:r>
      <w:r w:rsidR="009A2CB8">
        <w:t xml:space="preserve">Ocean and Earth Science, </w:t>
      </w:r>
      <w:r>
        <w:t>National Oceanography Centre Southampton, University of Southampton, Waterfront Campus, European Way, Southampton SO14 3ZH</w:t>
      </w:r>
      <w:r w:rsidR="003637BE">
        <w:t>, UK</w:t>
      </w:r>
      <w:r>
        <w:br/>
      </w:r>
      <w:r w:rsidRPr="005B5026">
        <w:rPr>
          <w:i w:val="0"/>
          <w:vertAlign w:val="superscript"/>
        </w:rPr>
        <w:t>2</w:t>
      </w:r>
      <w:r w:rsidRPr="005B5026">
        <w:rPr>
          <w:rStyle w:val="Strong"/>
          <w:b w:val="0"/>
        </w:rPr>
        <w:t>School of Geography &amp; Geosciences</w:t>
      </w:r>
      <w:r w:rsidRPr="00A22761">
        <w:t xml:space="preserve">, Irvine Building, University of St Andrews, </w:t>
      </w:r>
      <w:r w:rsidRPr="00A22761">
        <w:br/>
        <w:t>North Stre</w:t>
      </w:r>
      <w:r>
        <w:t>et, St Andrews, KY16 9AL</w:t>
      </w:r>
      <w:r w:rsidR="003637BE">
        <w:t>, UK</w:t>
      </w:r>
    </w:p>
    <w:p w14:paraId="70DF67DF" w14:textId="03AE7192" w:rsidR="005B5026" w:rsidRDefault="005B5026" w:rsidP="005B5026">
      <w:pPr>
        <w:jc w:val="both"/>
        <w:rPr>
          <w:i/>
        </w:rPr>
      </w:pPr>
      <w:r w:rsidRPr="005B5026">
        <w:rPr>
          <w:rFonts w:ascii="Times New Roman" w:hAnsi="Times New Roman"/>
          <w:b/>
          <w:i/>
          <w:vertAlign w:val="superscript"/>
        </w:rPr>
        <w:t>3</w:t>
      </w:r>
      <w:r w:rsidRPr="005B5026">
        <w:rPr>
          <w:rFonts w:ascii="Times New Roman" w:hAnsi="Times New Roman"/>
          <w:i/>
        </w:rPr>
        <w:t xml:space="preserve">School of Earth &amp; Ocean Sciences, Cardiff University, Cardiff, </w:t>
      </w:r>
      <w:r w:rsidRPr="005B5026">
        <w:rPr>
          <w:i/>
        </w:rPr>
        <w:t>CF10 3AT</w:t>
      </w:r>
      <w:r w:rsidR="003637BE">
        <w:rPr>
          <w:i/>
        </w:rPr>
        <w:t>, UK</w:t>
      </w:r>
    </w:p>
    <w:p w14:paraId="045E0B56" w14:textId="164B3F44" w:rsidR="005B5026" w:rsidRPr="005B5026" w:rsidRDefault="005B5026" w:rsidP="005B5026">
      <w:pPr>
        <w:pStyle w:val="AuthorAffiliation"/>
        <w:spacing w:line="480" w:lineRule="auto"/>
      </w:pPr>
      <w:r w:rsidRPr="005B5026">
        <w:rPr>
          <w:vertAlign w:val="superscript"/>
        </w:rPr>
        <w:t>4</w:t>
      </w:r>
      <w:r w:rsidR="00A20955" w:rsidRPr="00A20955">
        <w:t xml:space="preserve"> </w:t>
      </w:r>
      <w:r w:rsidR="00A20955">
        <w:t>Department of Physical Oceanography, Woods Hole Oceanographic Institu</w:t>
      </w:r>
      <w:r w:rsidR="003637BE">
        <w:t>tion, Woods Hole, Massachusetts, USA</w:t>
      </w:r>
    </w:p>
    <w:p w14:paraId="62236EC9" w14:textId="77777777" w:rsidR="005B5026" w:rsidRDefault="005B5026" w:rsidP="005B5026">
      <w:pPr>
        <w:pStyle w:val="AuthorAffiliation"/>
        <w:spacing w:line="480" w:lineRule="auto"/>
      </w:pPr>
    </w:p>
    <w:p w14:paraId="124E02E3" w14:textId="77777777" w:rsidR="00961950" w:rsidRPr="00842CEA" w:rsidRDefault="00961950" w:rsidP="00961950">
      <w:pPr>
        <w:pStyle w:val="Header"/>
        <w:rPr>
          <w:b/>
          <w:sz w:val="28"/>
          <w:szCs w:val="28"/>
        </w:rPr>
      </w:pPr>
      <w:r w:rsidRPr="00842CEA">
        <w:rPr>
          <w:b/>
          <w:sz w:val="28"/>
          <w:szCs w:val="28"/>
        </w:rPr>
        <w:t xml:space="preserve">Abstract: </w:t>
      </w:r>
    </w:p>
    <w:p w14:paraId="0294F9ED" w14:textId="12D8CE1E" w:rsidR="003637BE" w:rsidRPr="00392FEF" w:rsidRDefault="007048D4" w:rsidP="007048D4">
      <w:pPr>
        <w:widowControl w:val="0"/>
        <w:autoSpaceDE w:val="0"/>
        <w:autoSpaceDN w:val="0"/>
        <w:adjustRightInd w:val="0"/>
        <w:spacing w:after="0"/>
        <w:rPr>
          <w:rFonts w:ascii="Times New Roman" w:eastAsiaTheme="minorEastAsia" w:hAnsi="Times New Roman"/>
          <w:lang w:val="en-US" w:eastAsia="ja-JP"/>
        </w:rPr>
      </w:pPr>
      <w:r w:rsidRPr="00392FEF">
        <w:rPr>
          <w:rFonts w:ascii="Times New Roman" w:eastAsiaTheme="minorEastAsia" w:hAnsi="Times New Roman"/>
          <w:lang w:val="en-US" w:eastAsia="ja-JP"/>
        </w:rPr>
        <w:t>The boron isotop</w:t>
      </w:r>
      <w:r w:rsidR="00015A51" w:rsidRPr="00392FEF">
        <w:rPr>
          <w:rFonts w:ascii="Times New Roman" w:eastAsiaTheme="minorEastAsia" w:hAnsi="Times New Roman"/>
          <w:lang w:val="en-US" w:eastAsia="ja-JP"/>
        </w:rPr>
        <w:t>e</w:t>
      </w:r>
      <w:r w:rsidRPr="00392FEF">
        <w:rPr>
          <w:rFonts w:ascii="Times New Roman" w:eastAsiaTheme="minorEastAsia" w:hAnsi="Times New Roman"/>
          <w:lang w:val="en-US" w:eastAsia="ja-JP"/>
        </w:rPr>
        <w:t xml:space="preserve"> composition (</w:t>
      </w:r>
      <w:r w:rsidR="004F49D8" w:rsidRPr="00392FEF">
        <w:rPr>
          <w:rFonts w:ascii="Times New Roman" w:hAnsi="Times New Roman"/>
          <w:lang w:val="en-US"/>
        </w:rPr>
        <w:t>δ</w:t>
      </w:r>
      <w:r w:rsidR="004F49D8" w:rsidRPr="00392FEF">
        <w:rPr>
          <w:rFonts w:ascii="Times New Roman" w:hAnsi="Times New Roman"/>
          <w:vertAlign w:val="superscript"/>
          <w:lang w:val="en-US"/>
        </w:rPr>
        <w:t>11</w:t>
      </w:r>
      <w:r w:rsidR="004F49D8" w:rsidRPr="00392FEF">
        <w:rPr>
          <w:rFonts w:ascii="Times New Roman" w:hAnsi="Times New Roman"/>
          <w:lang w:val="en-US"/>
        </w:rPr>
        <w:t>B</w:t>
      </w:r>
      <w:r w:rsidRPr="00392FEF">
        <w:rPr>
          <w:rFonts w:ascii="Times New Roman" w:eastAsiaTheme="minorEastAsia" w:hAnsi="Times New Roman"/>
          <w:lang w:val="en-US" w:eastAsia="ja-JP"/>
        </w:rPr>
        <w:t>) of foraminiferal calcite reflec</w:t>
      </w:r>
      <w:r w:rsidR="004F49D8" w:rsidRPr="00392FEF">
        <w:rPr>
          <w:rFonts w:ascii="Times New Roman" w:eastAsiaTheme="minorEastAsia" w:hAnsi="Times New Roman"/>
          <w:lang w:val="en-US" w:eastAsia="ja-JP"/>
        </w:rPr>
        <w:t>ts the pH and the boron isotop</w:t>
      </w:r>
      <w:r w:rsidR="00015A51" w:rsidRPr="00392FEF">
        <w:rPr>
          <w:rFonts w:ascii="Times New Roman" w:eastAsiaTheme="minorEastAsia" w:hAnsi="Times New Roman"/>
          <w:lang w:val="en-US" w:eastAsia="ja-JP"/>
        </w:rPr>
        <w:t xml:space="preserve">e </w:t>
      </w:r>
      <w:r w:rsidRPr="00392FEF">
        <w:rPr>
          <w:rFonts w:ascii="Times New Roman" w:eastAsiaTheme="minorEastAsia" w:hAnsi="Times New Roman"/>
          <w:lang w:val="en-US" w:eastAsia="ja-JP"/>
        </w:rPr>
        <w:t xml:space="preserve">composition of the seawater the foraminifer grew in. For pH reconstructions, the </w:t>
      </w:r>
      <w:r w:rsidR="004F49D8" w:rsidRPr="00392FEF">
        <w:rPr>
          <w:rFonts w:ascii="Times New Roman" w:hAnsi="Times New Roman"/>
          <w:lang w:val="en-US"/>
        </w:rPr>
        <w:t>δ</w:t>
      </w:r>
      <w:r w:rsidR="004F49D8" w:rsidRPr="00392FEF">
        <w:rPr>
          <w:rFonts w:ascii="Times New Roman" w:hAnsi="Times New Roman"/>
          <w:vertAlign w:val="superscript"/>
          <w:lang w:val="en-US"/>
        </w:rPr>
        <w:t>11</w:t>
      </w:r>
      <w:r w:rsidR="004F49D8" w:rsidRPr="00392FEF">
        <w:rPr>
          <w:rFonts w:ascii="Times New Roman" w:hAnsi="Times New Roman"/>
          <w:lang w:val="en-US"/>
        </w:rPr>
        <w:t>B</w:t>
      </w:r>
      <w:r w:rsidRPr="00392FEF">
        <w:rPr>
          <w:rFonts w:ascii="Times New Roman" w:eastAsiaTheme="minorEastAsia" w:hAnsi="Times New Roman"/>
          <w:lang w:val="en-US" w:eastAsia="ja-JP"/>
        </w:rPr>
        <w:t xml:space="preserve"> of seawater must therefore be known but information on this parameter is limited. Here we reconstruct Neogene seawater </w:t>
      </w:r>
      <w:r w:rsidR="004F49D8" w:rsidRPr="00392FEF">
        <w:rPr>
          <w:rFonts w:ascii="Times New Roman" w:hAnsi="Times New Roman"/>
          <w:lang w:val="en-US"/>
        </w:rPr>
        <w:t>δ</w:t>
      </w:r>
      <w:r w:rsidR="004F49D8" w:rsidRPr="00392FEF">
        <w:rPr>
          <w:rFonts w:ascii="Times New Roman" w:hAnsi="Times New Roman"/>
          <w:vertAlign w:val="superscript"/>
          <w:lang w:val="en-US"/>
        </w:rPr>
        <w:t>11</w:t>
      </w:r>
      <w:r w:rsidR="004F49D8" w:rsidRPr="00392FEF">
        <w:rPr>
          <w:rFonts w:ascii="Times New Roman" w:hAnsi="Times New Roman"/>
          <w:lang w:val="en-US"/>
        </w:rPr>
        <w:t>B</w:t>
      </w:r>
      <w:r w:rsidRPr="00392FEF">
        <w:rPr>
          <w:rFonts w:ascii="Times New Roman" w:eastAsiaTheme="minorEastAsia" w:hAnsi="Times New Roman"/>
          <w:lang w:val="en-US" w:eastAsia="ja-JP"/>
        </w:rPr>
        <w:t xml:space="preserve"> based on the </w:t>
      </w:r>
      <w:r w:rsidR="004F49D8" w:rsidRPr="00392FEF">
        <w:rPr>
          <w:rFonts w:ascii="Times New Roman" w:hAnsi="Times New Roman"/>
          <w:lang w:val="en-US"/>
        </w:rPr>
        <w:t>δ</w:t>
      </w:r>
      <w:r w:rsidR="004F49D8" w:rsidRPr="00392FEF">
        <w:rPr>
          <w:rFonts w:ascii="Times New Roman" w:hAnsi="Times New Roman"/>
          <w:vertAlign w:val="superscript"/>
          <w:lang w:val="en-US"/>
        </w:rPr>
        <w:t>11</w:t>
      </w:r>
      <w:r w:rsidR="004F49D8" w:rsidRPr="00392FEF">
        <w:rPr>
          <w:rFonts w:ascii="Times New Roman" w:hAnsi="Times New Roman"/>
          <w:lang w:val="en-US"/>
        </w:rPr>
        <w:t>B</w:t>
      </w:r>
      <w:r w:rsidRPr="00392FEF">
        <w:rPr>
          <w:rFonts w:ascii="Times New Roman" w:eastAsiaTheme="minorEastAsia" w:hAnsi="Times New Roman"/>
          <w:lang w:val="en-US" w:eastAsia="ja-JP"/>
        </w:rPr>
        <w:t xml:space="preserve"> difference between paired measurements of planktic and benthic foraminifera and an estimate of the coeval water column pH gradient from </w:t>
      </w:r>
      <w:r w:rsidR="004F49D8" w:rsidRPr="00392FEF">
        <w:rPr>
          <w:rFonts w:ascii="Times New Roman" w:eastAsiaTheme="minorEastAsia" w:hAnsi="Times New Roman"/>
          <w:lang w:val="en-US" w:eastAsia="ja-JP"/>
        </w:rPr>
        <w:t xml:space="preserve">their </w:t>
      </w:r>
      <w:r w:rsidR="004F49D8" w:rsidRPr="00392FEF">
        <w:rPr>
          <w:rFonts w:ascii="Times New Roman" w:hAnsi="Times New Roman"/>
          <w:lang w:val="en-US"/>
        </w:rPr>
        <w:t>δ</w:t>
      </w:r>
      <w:r w:rsidR="004F49D8" w:rsidRPr="00392FEF">
        <w:rPr>
          <w:rFonts w:ascii="Times New Roman" w:hAnsi="Times New Roman"/>
          <w:vertAlign w:val="superscript"/>
          <w:lang w:val="en-US"/>
        </w:rPr>
        <w:t>13</w:t>
      </w:r>
      <w:r w:rsidR="004F49D8" w:rsidRPr="00392FEF">
        <w:rPr>
          <w:rFonts w:ascii="Times New Roman" w:hAnsi="Times New Roman"/>
          <w:lang w:val="en-US"/>
        </w:rPr>
        <w:t>C</w:t>
      </w:r>
      <w:r w:rsidRPr="00392FEF">
        <w:rPr>
          <w:rFonts w:ascii="Times New Roman" w:eastAsiaTheme="minorEastAsia" w:hAnsi="Times New Roman"/>
          <w:lang w:val="en-US" w:eastAsia="ja-JP"/>
        </w:rPr>
        <w:t xml:space="preserve"> values. Carbon cycle model simulations underscore that the </w:t>
      </w:r>
      <w:r w:rsidR="004F49D8" w:rsidRPr="00392FEF">
        <w:t>∆</w:t>
      </w:r>
      <w:r w:rsidRPr="00392FEF">
        <w:rPr>
          <w:rFonts w:ascii="Times New Roman" w:eastAsiaTheme="minorEastAsia" w:hAnsi="Times New Roman"/>
          <w:lang w:val="en-US" w:eastAsia="ja-JP"/>
        </w:rPr>
        <w:t>pH/</w:t>
      </w:r>
      <w:r w:rsidR="004F49D8" w:rsidRPr="00392FEF">
        <w:t>∆</w:t>
      </w:r>
      <w:r w:rsidR="004F49D8" w:rsidRPr="00392FEF">
        <w:rPr>
          <w:rFonts w:ascii="Times New Roman" w:hAnsi="Times New Roman"/>
          <w:lang w:val="en-US"/>
        </w:rPr>
        <w:t>δ</w:t>
      </w:r>
      <w:r w:rsidR="004F49D8" w:rsidRPr="00392FEF">
        <w:rPr>
          <w:rFonts w:ascii="Times New Roman" w:hAnsi="Times New Roman"/>
          <w:vertAlign w:val="superscript"/>
          <w:lang w:val="en-US"/>
        </w:rPr>
        <w:t>13</w:t>
      </w:r>
      <w:r w:rsidR="004F49D8" w:rsidRPr="00392FEF">
        <w:rPr>
          <w:rFonts w:ascii="Times New Roman" w:hAnsi="Times New Roman"/>
          <w:lang w:val="en-US"/>
        </w:rPr>
        <w:t>C</w:t>
      </w:r>
      <w:r w:rsidRPr="00392FEF">
        <w:rPr>
          <w:rFonts w:ascii="Times New Roman" w:eastAsiaTheme="minorEastAsia" w:hAnsi="Times New Roman"/>
          <w:lang w:val="en-US" w:eastAsia="ja-JP"/>
        </w:rPr>
        <w:t xml:space="preserve"> relationship is relatively insensitive to ocean and carbon cycle changes, validating our approach. Our reconstructions suggest that </w:t>
      </w:r>
      <w:r w:rsidR="004F49D8" w:rsidRPr="00392FEF">
        <w:rPr>
          <w:rFonts w:ascii="Times New Roman" w:hAnsi="Times New Roman"/>
          <w:lang w:val="en-US"/>
        </w:rPr>
        <w:t>δ</w:t>
      </w:r>
      <w:r w:rsidR="004F49D8" w:rsidRPr="00392FEF">
        <w:rPr>
          <w:rFonts w:ascii="Times New Roman" w:hAnsi="Times New Roman"/>
          <w:vertAlign w:val="superscript"/>
          <w:lang w:val="en-US"/>
        </w:rPr>
        <w:t>11</w:t>
      </w:r>
      <w:r w:rsidR="004F49D8" w:rsidRPr="00392FEF">
        <w:rPr>
          <w:rFonts w:ascii="Times New Roman" w:hAnsi="Times New Roman"/>
          <w:lang w:val="en-US"/>
        </w:rPr>
        <w:t>B</w:t>
      </w:r>
      <w:r w:rsidRPr="00392FEF">
        <w:rPr>
          <w:rFonts w:ascii="Times New Roman" w:eastAsiaTheme="minorEastAsia" w:hAnsi="Times New Roman"/>
          <w:vertAlign w:val="subscript"/>
          <w:lang w:val="en-US" w:eastAsia="ja-JP"/>
        </w:rPr>
        <w:t>sw</w:t>
      </w:r>
      <w:r w:rsidRPr="00392FEF">
        <w:rPr>
          <w:rFonts w:ascii="Times New Roman" w:eastAsiaTheme="minorEastAsia" w:hAnsi="Times New Roman"/>
          <w:lang w:val="en-US" w:eastAsia="ja-JP"/>
        </w:rPr>
        <w:t xml:space="preserve"> was ~37.5 ‰ during the early and middle Miocene (roughly 23 – 12 Ma) and rapidly increased during the late Miocene (between 12 and 5 Ma) towards the modern value of 39.61 ‰. Strikingly, this pattern is similar to the evolution of the seawater isotop</w:t>
      </w:r>
      <w:r w:rsidR="00015A51" w:rsidRPr="00392FEF">
        <w:rPr>
          <w:rFonts w:ascii="Times New Roman" w:eastAsiaTheme="minorEastAsia" w:hAnsi="Times New Roman"/>
          <w:lang w:val="en-US" w:eastAsia="ja-JP"/>
        </w:rPr>
        <w:t>e</w:t>
      </w:r>
      <w:r w:rsidRPr="00392FEF">
        <w:rPr>
          <w:rFonts w:ascii="Times New Roman" w:eastAsiaTheme="minorEastAsia" w:hAnsi="Times New Roman"/>
          <w:lang w:val="en-US" w:eastAsia="ja-JP"/>
        </w:rPr>
        <w:t xml:space="preserve"> composition of Mg, Li and Ca, suggesting a common forcing mechanism. Based on the observed direction of change, </w:t>
      </w:r>
      <w:r w:rsidRPr="00392FEF">
        <w:rPr>
          <w:rFonts w:ascii="Times New Roman" w:eastAsiaTheme="minorEastAsia" w:hAnsi="Times New Roman"/>
          <w:lang w:val="en-US" w:eastAsia="ja-JP"/>
        </w:rPr>
        <w:lastRenderedPageBreak/>
        <w:t>we hypothesize that an increase in secondary mineral formation during continental weathering affect</w:t>
      </w:r>
      <w:bookmarkStart w:id="1" w:name="_GoBack"/>
      <w:bookmarkEnd w:id="1"/>
      <w:r w:rsidRPr="00392FEF">
        <w:rPr>
          <w:rFonts w:ascii="Times New Roman" w:eastAsiaTheme="minorEastAsia" w:hAnsi="Times New Roman"/>
          <w:lang w:val="en-US" w:eastAsia="ja-JP"/>
        </w:rPr>
        <w:t>ed the isotop</w:t>
      </w:r>
      <w:r w:rsidR="00015A51" w:rsidRPr="00392FEF">
        <w:rPr>
          <w:rFonts w:ascii="Times New Roman" w:eastAsiaTheme="minorEastAsia" w:hAnsi="Times New Roman"/>
          <w:lang w:val="en-US" w:eastAsia="ja-JP"/>
        </w:rPr>
        <w:t>e</w:t>
      </w:r>
      <w:r w:rsidRPr="00392FEF">
        <w:rPr>
          <w:rFonts w:ascii="Times New Roman" w:eastAsiaTheme="minorEastAsia" w:hAnsi="Times New Roman"/>
          <w:lang w:val="en-US" w:eastAsia="ja-JP"/>
        </w:rPr>
        <w:t xml:space="preserve"> composition of riverine input to the ocean since </w:t>
      </w:r>
      <w:r w:rsidR="00EC2D26" w:rsidRPr="00392FEF">
        <w:rPr>
          <w:rFonts w:ascii="Times New Roman" w:eastAsiaTheme="minorEastAsia" w:hAnsi="Times New Roman"/>
          <w:lang w:val="en-US" w:eastAsia="ja-JP"/>
        </w:rPr>
        <w:t>14</w:t>
      </w:r>
      <w:r w:rsidRPr="00392FEF">
        <w:rPr>
          <w:rFonts w:ascii="Times New Roman" w:eastAsiaTheme="minorEastAsia" w:hAnsi="Times New Roman"/>
          <w:lang w:val="en-US" w:eastAsia="ja-JP"/>
        </w:rPr>
        <w:t xml:space="preserve"> Ma. </w:t>
      </w:r>
      <w:bookmarkStart w:id="2" w:name="_Toc287775646"/>
      <w:r w:rsidR="003637BE" w:rsidRPr="00392FEF">
        <w:rPr>
          <w:rFonts w:ascii="Times New Roman" w:hAnsi="Times New Roman"/>
        </w:rPr>
        <w:t xml:space="preserve"> </w:t>
      </w:r>
      <w:bookmarkEnd w:id="2"/>
    </w:p>
    <w:p w14:paraId="00E1B27F" w14:textId="77777777" w:rsidR="008B0392" w:rsidRDefault="008B0392" w:rsidP="008B0392">
      <w:pPr>
        <w:pStyle w:val="Heading2"/>
        <w:numPr>
          <w:ilvl w:val="0"/>
          <w:numId w:val="18"/>
        </w:numPr>
        <w:rPr>
          <w:szCs w:val="28"/>
        </w:rPr>
      </w:pPr>
      <w:r w:rsidRPr="00543B58">
        <w:rPr>
          <w:szCs w:val="28"/>
        </w:rPr>
        <w:t>Introduction</w:t>
      </w:r>
    </w:p>
    <w:p w14:paraId="0E0FD1D2" w14:textId="131AE537" w:rsidR="00961950" w:rsidRDefault="00462B73" w:rsidP="00961950">
      <w:pPr>
        <w:rPr>
          <w:color w:val="1A1718"/>
          <w:lang w:val="en-US"/>
        </w:rPr>
      </w:pPr>
      <w:r>
        <w:t>Key to determining</w:t>
      </w:r>
      <w:r w:rsidR="00961950">
        <w:t xml:space="preserve"> the relationship between CO</w:t>
      </w:r>
      <w:r w:rsidR="00961950" w:rsidRPr="008F2376">
        <w:rPr>
          <w:vertAlign w:val="subscript"/>
        </w:rPr>
        <w:t>2</w:t>
      </w:r>
      <w:r w:rsidR="00961950">
        <w:t xml:space="preserve"> and climate in the geological past</w:t>
      </w:r>
      <w:r>
        <w:t xml:space="preserve"> is the calculation of</w:t>
      </w:r>
      <w:r w:rsidR="00961950">
        <w:t xml:space="preserve"> reliable estimates of absolute CO</w:t>
      </w:r>
      <w:r w:rsidR="00961950" w:rsidRPr="008F2376">
        <w:rPr>
          <w:vertAlign w:val="subscript"/>
        </w:rPr>
        <w:t>2</w:t>
      </w:r>
      <w:r w:rsidR="00961950">
        <w:t xml:space="preserve"> through time. In recent years the boron isotope composition (</w:t>
      </w:r>
      <w:r w:rsidR="00961950">
        <w:rPr>
          <w:rFonts w:ascii="Times New Roman" w:hAnsi="Times New Roman"/>
        </w:rPr>
        <w:t>δ</w:t>
      </w:r>
      <w:r w:rsidR="00961950">
        <w:rPr>
          <w:vertAlign w:val="superscript"/>
        </w:rPr>
        <w:t>11</w:t>
      </w:r>
      <w:r w:rsidR="00961950">
        <w:t xml:space="preserve">B) of foraminiferal calcite has become </w:t>
      </w:r>
      <w:r w:rsidR="0054458C">
        <w:t>a high-profile</w:t>
      </w:r>
      <w:r w:rsidR="00961950">
        <w:t xml:space="preserve"> tool </w:t>
      </w:r>
      <w:r w:rsidR="004626D2">
        <w:t xml:space="preserve">for </w:t>
      </w:r>
      <w:r w:rsidR="00961950">
        <w:t>reconstruct</w:t>
      </w:r>
      <w:r w:rsidR="0054458C">
        <w:t>ing</w:t>
      </w:r>
      <w:r w:rsidR="00961950">
        <w:t xml:space="preserve"> CO</w:t>
      </w:r>
      <w:r w:rsidR="00961950" w:rsidRPr="008F2376">
        <w:rPr>
          <w:vertAlign w:val="subscript"/>
        </w:rPr>
        <w:t>2</w:t>
      </w:r>
      <w:r w:rsidR="00961950">
        <w:t xml:space="preserve"> beyond the last 800 kyrs and throughout the Cenozoic </w:t>
      </w:r>
      <w:r w:rsidR="003637BE">
        <w:t>E</w:t>
      </w:r>
      <w:r w:rsidR="00961950">
        <w:t xml:space="preserve">ra </w:t>
      </w:r>
      <w:r w:rsidR="00961950">
        <w:rPr>
          <w:noProof/>
        </w:rPr>
        <w:t xml:space="preserve">(Foster, 2008; </w:t>
      </w:r>
      <w:r w:rsidR="003438EC">
        <w:rPr>
          <w:noProof/>
        </w:rPr>
        <w:t>Hönisch</w:t>
      </w:r>
      <w:r w:rsidR="00961950">
        <w:rPr>
          <w:noProof/>
        </w:rPr>
        <w:t xml:space="preserve"> et al., 2009; Pearson et al., 2009;</w:t>
      </w:r>
      <w:r w:rsidR="003A274C">
        <w:rPr>
          <w:noProof/>
        </w:rPr>
        <w:t xml:space="preserve"> </w:t>
      </w:r>
      <w:r w:rsidR="003A274C" w:rsidRPr="00C26426">
        <w:rPr>
          <w:noProof/>
        </w:rPr>
        <w:t>Bartoli et al., 2009; Foster et al., 2012;</w:t>
      </w:r>
      <w:r w:rsidR="00961950" w:rsidRPr="00C26426">
        <w:rPr>
          <w:noProof/>
        </w:rPr>
        <w:t xml:space="preserve"> </w:t>
      </w:r>
      <w:r w:rsidR="003A274C" w:rsidRPr="00C26426">
        <w:rPr>
          <w:noProof/>
        </w:rPr>
        <w:t xml:space="preserve">Badger et al., 2013; </w:t>
      </w:r>
      <w:r w:rsidR="00961950" w:rsidRPr="00C26426">
        <w:rPr>
          <w:noProof/>
        </w:rPr>
        <w:t xml:space="preserve">Henehan et al., 2013; Greenop et al., 2014; </w:t>
      </w:r>
      <w:r w:rsidR="00442EC4" w:rsidRPr="00C26426">
        <w:rPr>
          <w:noProof/>
        </w:rPr>
        <w:t>Mart</w:t>
      </w:r>
      <w:r w:rsidR="00F41A68">
        <w:rPr>
          <w:noProof/>
        </w:rPr>
        <w:t>í</w:t>
      </w:r>
      <w:r w:rsidR="00442EC4" w:rsidRPr="00C26426">
        <w:rPr>
          <w:noProof/>
        </w:rPr>
        <w:t>nez-Bot</w:t>
      </w:r>
      <w:r w:rsidR="00F41A68">
        <w:rPr>
          <w:noProof/>
        </w:rPr>
        <w:t>í</w:t>
      </w:r>
      <w:r w:rsidR="00460FDB" w:rsidRPr="00C26426">
        <w:rPr>
          <w:noProof/>
        </w:rPr>
        <w:t>, et al., 2015</w:t>
      </w:r>
      <w:r w:rsidR="00442EC4" w:rsidRPr="00C26426">
        <w:rPr>
          <w:noProof/>
        </w:rPr>
        <w:t>a</w:t>
      </w:r>
      <w:r w:rsidR="00961950" w:rsidRPr="00C26426">
        <w:rPr>
          <w:noProof/>
        </w:rPr>
        <w:t>)</w:t>
      </w:r>
      <w:r w:rsidR="00961950" w:rsidRPr="00C26426">
        <w:t>. Yet long-term change in the boron isotope composition of seawater (</w:t>
      </w:r>
      <w:r w:rsidR="00961950" w:rsidRPr="00C26426">
        <w:rPr>
          <w:rFonts w:ascii="Times New Roman" w:hAnsi="Times New Roman"/>
        </w:rPr>
        <w:t>δ</w:t>
      </w:r>
      <w:r w:rsidR="00961950" w:rsidRPr="00C26426">
        <w:rPr>
          <w:vertAlign w:val="superscript"/>
        </w:rPr>
        <w:t>11</w:t>
      </w:r>
      <w:r w:rsidR="00961950" w:rsidRPr="00C26426">
        <w:t>B</w:t>
      </w:r>
      <w:r w:rsidR="00961950" w:rsidRPr="00C26426">
        <w:rPr>
          <w:vertAlign w:val="subscript"/>
        </w:rPr>
        <w:t>sw</w:t>
      </w:r>
      <w:r w:rsidR="00961950" w:rsidRPr="00C26426">
        <w:t xml:space="preserve">) is </w:t>
      </w:r>
      <w:r w:rsidR="009A2CB8">
        <w:t xml:space="preserve">currently </w:t>
      </w:r>
      <w:r w:rsidR="00961950" w:rsidRPr="00C26426">
        <w:t xml:space="preserve">poorly constrained and represents a major </w:t>
      </w:r>
      <w:r w:rsidR="003637BE">
        <w:t>source of the</w:t>
      </w:r>
      <w:r w:rsidR="00961950" w:rsidRPr="00C26426">
        <w:t xml:space="preserve"> uncertaint</w:t>
      </w:r>
      <w:r w:rsidR="003637BE">
        <w:t>y</w:t>
      </w:r>
      <w:r w:rsidR="00961950" w:rsidRPr="00C26426">
        <w:t xml:space="preserve"> associated with</w:t>
      </w:r>
      <w:r w:rsidR="003637BE">
        <w:t xml:space="preserve"> </w:t>
      </w:r>
      <w:r w:rsidR="003637BE" w:rsidRPr="00D20154">
        <w:rPr>
          <w:color w:val="000000"/>
          <w:szCs w:val="18"/>
        </w:rPr>
        <w:t>δ</w:t>
      </w:r>
      <w:r w:rsidR="003637BE" w:rsidRPr="00980136">
        <w:rPr>
          <w:color w:val="000000"/>
          <w:szCs w:val="12"/>
          <w:vertAlign w:val="superscript"/>
        </w:rPr>
        <w:t>11</w:t>
      </w:r>
      <w:r w:rsidR="003637BE" w:rsidRPr="00D20154">
        <w:rPr>
          <w:color w:val="000000"/>
          <w:szCs w:val="18"/>
        </w:rPr>
        <w:t>B</w:t>
      </w:r>
      <w:r w:rsidR="003637BE">
        <w:t>-determined</w:t>
      </w:r>
      <w:r w:rsidR="00961950" w:rsidRPr="00C26426">
        <w:t xml:space="preserve"> CO</w:t>
      </w:r>
      <w:r w:rsidR="00961950" w:rsidRPr="00C26426">
        <w:rPr>
          <w:vertAlign w:val="subscript"/>
        </w:rPr>
        <w:t>2</w:t>
      </w:r>
      <w:r w:rsidR="00961950" w:rsidRPr="00C26426">
        <w:t xml:space="preserve"> estimates</w:t>
      </w:r>
      <w:r w:rsidR="009A2CB8">
        <w:t xml:space="preserve"> (e.g. Pearson et al., 2009)</w:t>
      </w:r>
      <w:r w:rsidR="00961950" w:rsidRPr="00C26426">
        <w:t xml:space="preserve">. In the modern ocean </w:t>
      </w:r>
      <w:r w:rsidR="003A274C" w:rsidRPr="00C26426">
        <w:t>boron is</w:t>
      </w:r>
      <w:r w:rsidR="008B0392">
        <w:t xml:space="preserve"> a conservative element with a sp</w:t>
      </w:r>
      <w:r w:rsidR="003637BE">
        <w:t>atially invariant isotop</w:t>
      </w:r>
      <w:r w:rsidR="008B0392">
        <w:t xml:space="preserve">e </w:t>
      </w:r>
      <w:r w:rsidR="00961950" w:rsidRPr="00C26426">
        <w:t>ratio (39.61</w:t>
      </w:r>
      <w:r w:rsidR="00961950" w:rsidRPr="00C26426">
        <w:rPr>
          <w:color w:val="1A1718"/>
          <w:lang w:val="en-US"/>
        </w:rPr>
        <w:t xml:space="preserve">‰; </w:t>
      </w:r>
      <w:r w:rsidR="00961950" w:rsidRPr="00C26426">
        <w:rPr>
          <w:noProof/>
          <w:color w:val="1A1718"/>
          <w:lang w:val="en-US"/>
        </w:rPr>
        <w:t>Foster et al., 2010</w:t>
      </w:r>
      <w:r w:rsidR="00961950" w:rsidRPr="00C26426">
        <w:rPr>
          <w:color w:val="1A1718"/>
          <w:lang w:val="en-US"/>
        </w:rPr>
        <w:t xml:space="preserve">), but this value is subject to change through geological time. The residence time of boron in the ocean </w:t>
      </w:r>
      <w:r w:rsidR="003637BE">
        <w:rPr>
          <w:color w:val="1A1718"/>
          <w:lang w:val="en-US"/>
        </w:rPr>
        <w:t>is</w:t>
      </w:r>
      <w:r w:rsidR="00961950" w:rsidRPr="00C26426">
        <w:rPr>
          <w:color w:val="1A1718"/>
          <w:lang w:val="en-US"/>
        </w:rPr>
        <w:t xml:space="preserve"> estimated </w:t>
      </w:r>
      <w:r w:rsidR="003637BE">
        <w:rPr>
          <w:color w:val="1A1718"/>
          <w:lang w:val="en-US"/>
        </w:rPr>
        <w:t xml:space="preserve">to lie </w:t>
      </w:r>
      <w:r w:rsidR="00961950" w:rsidRPr="00C26426">
        <w:rPr>
          <w:color w:val="1A1718"/>
          <w:lang w:val="en-US"/>
        </w:rPr>
        <w:t xml:space="preserve">between 11 and 17 Myrs </w:t>
      </w:r>
      <w:r w:rsidR="00747895" w:rsidRPr="00C26426">
        <w:rPr>
          <w:noProof/>
          <w:color w:val="1A1718"/>
          <w:lang w:val="en-US"/>
        </w:rPr>
        <w:t>(Lemarchand et al., 200</w:t>
      </w:r>
      <w:r w:rsidR="00102A50">
        <w:rPr>
          <w:noProof/>
          <w:color w:val="1A1718"/>
          <w:lang w:val="en-US"/>
        </w:rPr>
        <w:t>0</w:t>
      </w:r>
      <w:r w:rsidR="00961950" w:rsidRPr="00C26426">
        <w:rPr>
          <w:noProof/>
          <w:color w:val="1A1718"/>
          <w:lang w:val="en-US"/>
        </w:rPr>
        <w:t>)</w:t>
      </w:r>
      <w:r w:rsidR="00961950" w:rsidRPr="00C26426">
        <w:rPr>
          <w:color w:val="1A1718"/>
          <w:lang w:val="en-US"/>
        </w:rPr>
        <w:t xml:space="preserve">. Therefore we can expect the uncertainty associated with </w:t>
      </w:r>
      <w:r w:rsidR="00961950" w:rsidRPr="00C26426">
        <w:rPr>
          <w:rFonts w:ascii="Times New Roman" w:hAnsi="Times New Roman"/>
          <w:color w:val="1A1718"/>
          <w:lang w:val="en-US"/>
        </w:rPr>
        <w:t>δ</w:t>
      </w:r>
      <w:r w:rsidR="00961950" w:rsidRPr="00C26426">
        <w:rPr>
          <w:color w:val="1A1718"/>
          <w:vertAlign w:val="superscript"/>
          <w:lang w:val="en-US"/>
        </w:rPr>
        <w:t>11</w:t>
      </w:r>
      <w:r w:rsidR="00961950" w:rsidRPr="00C26426">
        <w:rPr>
          <w:color w:val="1A1718"/>
          <w:lang w:val="en-US"/>
        </w:rPr>
        <w:t>B</w:t>
      </w:r>
      <w:r w:rsidR="00961950" w:rsidRPr="00C26426">
        <w:rPr>
          <w:color w:val="1A1718"/>
          <w:vertAlign w:val="subscript"/>
          <w:lang w:val="en-US"/>
        </w:rPr>
        <w:t>sw</w:t>
      </w:r>
      <w:r w:rsidR="00961950" w:rsidRPr="00C26426">
        <w:rPr>
          <w:color w:val="1A1718"/>
          <w:lang w:val="en-US"/>
        </w:rPr>
        <w:t xml:space="preserve"> to be an important factor in CO</w:t>
      </w:r>
      <w:r w:rsidR="00961950" w:rsidRPr="00C26426">
        <w:rPr>
          <w:color w:val="1A1718"/>
          <w:vertAlign w:val="subscript"/>
          <w:lang w:val="en-US"/>
        </w:rPr>
        <w:t>2</w:t>
      </w:r>
      <w:r w:rsidR="00961950" w:rsidRPr="00C26426">
        <w:rPr>
          <w:color w:val="1A1718"/>
          <w:lang w:val="en-US"/>
        </w:rPr>
        <w:t xml:space="preserve"> estimates beyond the late Pliocene</w:t>
      </w:r>
      <w:r w:rsidR="00BD634A" w:rsidRPr="00C26426">
        <w:rPr>
          <w:color w:val="1A1718"/>
          <w:lang w:val="en-US"/>
        </w:rPr>
        <w:t xml:space="preserve"> </w:t>
      </w:r>
      <w:r w:rsidR="00CF399D">
        <w:rPr>
          <w:color w:val="1A1718"/>
          <w:lang w:val="en-US"/>
        </w:rPr>
        <w:t xml:space="preserve">(~ 4-5 Ma, </w:t>
      </w:r>
      <w:r w:rsidR="003A274C" w:rsidRPr="00C26426">
        <w:rPr>
          <w:color w:val="1A1718"/>
          <w:lang w:val="en-US"/>
        </w:rPr>
        <w:t xml:space="preserve">Palmer et al., 1998; </w:t>
      </w:r>
      <w:r w:rsidR="00F41A68">
        <w:rPr>
          <w:color w:val="1A1718"/>
          <w:lang w:val="en-US"/>
        </w:rPr>
        <w:t xml:space="preserve">Lemarchand et al., 2000; </w:t>
      </w:r>
      <w:r w:rsidR="00BD634A" w:rsidRPr="00C26426">
        <w:rPr>
          <w:color w:val="1A1718"/>
          <w:lang w:val="en-US"/>
        </w:rPr>
        <w:t>Pearson et al., 2009</w:t>
      </w:r>
      <w:r w:rsidR="00BD634A">
        <w:rPr>
          <w:color w:val="1A1718"/>
          <w:lang w:val="en-US"/>
        </w:rPr>
        <w:t xml:space="preserve">; </w:t>
      </w:r>
      <w:r w:rsidR="001975FA">
        <w:rPr>
          <w:color w:val="1A1718"/>
          <w:lang w:val="en-US"/>
        </w:rPr>
        <w:t>Foster et al., 2012</w:t>
      </w:r>
      <w:r w:rsidR="00740756">
        <w:rPr>
          <w:color w:val="1A1718"/>
          <w:lang w:val="en-US"/>
        </w:rPr>
        <w:t>; Anagnostou et al. 2016</w:t>
      </w:r>
      <w:r w:rsidR="001975FA">
        <w:rPr>
          <w:color w:val="1A1718"/>
          <w:lang w:val="en-US"/>
        </w:rPr>
        <w:t>).</w:t>
      </w:r>
    </w:p>
    <w:p w14:paraId="0FF1305F" w14:textId="0CB15925" w:rsidR="00961950" w:rsidRPr="00A55BDF" w:rsidRDefault="00961950" w:rsidP="00A55BDF">
      <w:pPr>
        <w:widowControl w:val="0"/>
        <w:autoSpaceDE w:val="0"/>
        <w:autoSpaceDN w:val="0"/>
        <w:adjustRightInd w:val="0"/>
        <w:spacing w:after="0"/>
        <w:rPr>
          <w:rFonts w:ascii="Times New Roman" w:hAnsi="Times New Roman"/>
          <w:color w:val="1A1718"/>
          <w:lang w:val="en-US"/>
        </w:rPr>
      </w:pPr>
      <w:r w:rsidRPr="00A55BDF">
        <w:rPr>
          <w:rFonts w:ascii="Times New Roman" w:hAnsi="Times New Roman"/>
          <w:color w:val="1A1718"/>
          <w:lang w:val="en-US"/>
        </w:rPr>
        <w:t xml:space="preserve">The ocean boron budget and its isotopic composition are controlled by a number of inputs and </w:t>
      </w:r>
      <w:r w:rsidR="00561A0B" w:rsidRPr="00A55BDF">
        <w:rPr>
          <w:rFonts w:ascii="Times New Roman" w:hAnsi="Times New Roman"/>
          <w:color w:val="1A1718"/>
          <w:lang w:val="en-US"/>
        </w:rPr>
        <w:t xml:space="preserve">outputs (Fig. </w:t>
      </w:r>
      <w:r w:rsidRPr="00A55BDF">
        <w:rPr>
          <w:rFonts w:ascii="Times New Roman" w:hAnsi="Times New Roman"/>
          <w:color w:val="1A1718"/>
          <w:lang w:val="en-US"/>
        </w:rPr>
        <w:t xml:space="preserve">1). However, </w:t>
      </w:r>
      <w:r w:rsidR="00CF399D">
        <w:rPr>
          <w:rFonts w:ascii="Times New Roman" w:hAnsi="Times New Roman"/>
          <w:color w:val="1A1718"/>
          <w:lang w:val="en-US"/>
        </w:rPr>
        <w:t xml:space="preserve">because </w:t>
      </w:r>
      <w:r w:rsidRPr="00A55BDF">
        <w:rPr>
          <w:rFonts w:ascii="Times New Roman" w:hAnsi="Times New Roman"/>
          <w:color w:val="1A1718"/>
          <w:lang w:val="en-US"/>
        </w:rPr>
        <w:t>the magnitude of the boron fluxes between land, the ocean and</w:t>
      </w:r>
      <w:r w:rsidR="003A274C" w:rsidRPr="00A55BDF">
        <w:rPr>
          <w:rFonts w:ascii="Times New Roman" w:hAnsi="Times New Roman"/>
          <w:color w:val="1A1718"/>
          <w:lang w:val="en-US"/>
        </w:rPr>
        <w:t xml:space="preserve"> the</w:t>
      </w:r>
      <w:r w:rsidRPr="00A55BDF">
        <w:rPr>
          <w:rFonts w:ascii="Times New Roman" w:hAnsi="Times New Roman"/>
          <w:color w:val="1A1718"/>
          <w:lang w:val="en-US"/>
        </w:rPr>
        <w:t xml:space="preserve"> atmosphere </w:t>
      </w:r>
      <w:r w:rsidR="00345C6A">
        <w:rPr>
          <w:rFonts w:ascii="Times New Roman" w:hAnsi="Times New Roman"/>
          <w:color w:val="1A1718"/>
          <w:lang w:val="en-US"/>
        </w:rPr>
        <w:t xml:space="preserve">in the modern </w:t>
      </w:r>
      <w:r w:rsidRPr="00A55BDF">
        <w:rPr>
          <w:rFonts w:ascii="Times New Roman" w:hAnsi="Times New Roman"/>
          <w:color w:val="1A1718"/>
          <w:lang w:val="en-US"/>
        </w:rPr>
        <w:t>are still poorly understood</w:t>
      </w:r>
      <w:r w:rsidR="00CF399D">
        <w:rPr>
          <w:rFonts w:ascii="Times New Roman" w:hAnsi="Times New Roman"/>
          <w:color w:val="1A1718"/>
          <w:lang w:val="en-US"/>
        </w:rPr>
        <w:t>,</w:t>
      </w:r>
      <w:r w:rsidRPr="00A55BDF">
        <w:rPr>
          <w:rFonts w:ascii="Times New Roman" w:hAnsi="Times New Roman"/>
          <w:color w:val="1A1718"/>
          <w:lang w:val="en-US"/>
        </w:rPr>
        <w:t xml:space="preserve"> </w:t>
      </w:r>
      <w:r w:rsidR="003A274C" w:rsidRPr="00A55BDF">
        <w:rPr>
          <w:rFonts w:ascii="Times New Roman" w:hAnsi="Times New Roman"/>
          <w:color w:val="1A1718"/>
          <w:lang w:val="en-US"/>
        </w:rPr>
        <w:t>the</w:t>
      </w:r>
      <w:r w:rsidRPr="00A55BDF">
        <w:rPr>
          <w:rFonts w:ascii="Times New Roman" w:hAnsi="Times New Roman"/>
          <w:color w:val="1A1718"/>
          <w:lang w:val="en-US"/>
        </w:rPr>
        <w:t xml:space="preserve"> residence time and changes in both concentration ([B]</w:t>
      </w:r>
      <w:r w:rsidRPr="00A55BDF">
        <w:rPr>
          <w:rFonts w:ascii="Times New Roman" w:hAnsi="Times New Roman"/>
          <w:color w:val="1A1718"/>
          <w:vertAlign w:val="subscript"/>
          <w:lang w:val="en-US"/>
        </w:rPr>
        <w:t>sw</w:t>
      </w:r>
      <w:r w:rsidR="008B0392">
        <w:rPr>
          <w:rFonts w:ascii="Times New Roman" w:hAnsi="Times New Roman"/>
          <w:color w:val="1A1718"/>
          <w:lang w:val="en-US"/>
        </w:rPr>
        <w:t>) and isotopic</w:t>
      </w:r>
      <w:r w:rsidRPr="00A55BDF">
        <w:rPr>
          <w:rFonts w:ascii="Times New Roman" w:hAnsi="Times New Roman"/>
          <w:color w:val="1A1718"/>
          <w:lang w:val="en-US"/>
        </w:rPr>
        <w:t xml:space="preserve"> </w:t>
      </w:r>
      <w:r w:rsidR="008B0392">
        <w:rPr>
          <w:rFonts w:ascii="Times New Roman" w:hAnsi="Times New Roman"/>
          <w:color w:val="1A1718"/>
          <w:lang w:val="en-US"/>
        </w:rPr>
        <w:t>composition</w:t>
      </w:r>
      <w:r w:rsidRPr="00A55BDF">
        <w:rPr>
          <w:rFonts w:ascii="Times New Roman" w:hAnsi="Times New Roman"/>
          <w:color w:val="1A1718"/>
          <w:lang w:val="en-US"/>
        </w:rPr>
        <w:t xml:space="preserve"> (δ</w:t>
      </w:r>
      <w:r w:rsidRPr="00A55BDF">
        <w:rPr>
          <w:rFonts w:ascii="Times New Roman" w:hAnsi="Times New Roman"/>
          <w:color w:val="1A1718"/>
          <w:vertAlign w:val="superscript"/>
          <w:lang w:val="en-US"/>
        </w:rPr>
        <w:t>11</w:t>
      </w:r>
      <w:r w:rsidRPr="00A55BDF">
        <w:rPr>
          <w:rFonts w:ascii="Times New Roman" w:hAnsi="Times New Roman"/>
          <w:color w:val="1A1718"/>
          <w:lang w:val="en-US"/>
        </w:rPr>
        <w:t>B</w:t>
      </w:r>
      <w:r w:rsidRPr="00A55BDF">
        <w:rPr>
          <w:rFonts w:ascii="Times New Roman" w:hAnsi="Times New Roman"/>
          <w:color w:val="1A1718"/>
          <w:vertAlign w:val="subscript"/>
          <w:lang w:val="en-US"/>
        </w:rPr>
        <w:t>sw</w:t>
      </w:r>
      <w:r w:rsidRPr="00A55BDF">
        <w:rPr>
          <w:rFonts w:ascii="Times New Roman" w:hAnsi="Times New Roman"/>
          <w:color w:val="1A1718"/>
          <w:lang w:val="en-US"/>
        </w:rPr>
        <w:t xml:space="preserve">) through time </w:t>
      </w:r>
      <w:r w:rsidR="001975FA" w:rsidRPr="00A55BDF">
        <w:rPr>
          <w:rFonts w:ascii="Times New Roman" w:hAnsi="Times New Roman"/>
          <w:color w:val="1A1718"/>
          <w:lang w:val="en-US"/>
        </w:rPr>
        <w:t xml:space="preserve">remain </w:t>
      </w:r>
      <w:r w:rsidRPr="00A55BDF">
        <w:rPr>
          <w:rFonts w:ascii="Times New Roman" w:hAnsi="Times New Roman"/>
          <w:color w:val="1A1718"/>
          <w:lang w:val="en-US"/>
        </w:rPr>
        <w:t xml:space="preserve">uncertain. </w:t>
      </w:r>
      <w:r w:rsidR="00670B65">
        <w:rPr>
          <w:rFonts w:ascii="Times New Roman" w:hAnsi="Times New Roman"/>
          <w:color w:val="1A1718"/>
          <w:lang w:val="en-US"/>
        </w:rPr>
        <w:t>T</w:t>
      </w:r>
      <w:r w:rsidRPr="00A55BDF">
        <w:rPr>
          <w:rFonts w:ascii="Times New Roman" w:hAnsi="Times New Roman"/>
          <w:color w:val="1A1718"/>
          <w:lang w:val="en-US"/>
        </w:rPr>
        <w:t xml:space="preserve">he main inputs of B into the ocean are </w:t>
      </w:r>
      <w:r w:rsidR="00670B65">
        <w:rPr>
          <w:rFonts w:ascii="Times New Roman" w:hAnsi="Times New Roman"/>
          <w:color w:val="1A1718"/>
          <w:lang w:val="en-US"/>
        </w:rPr>
        <w:t>silicate weathering</w:t>
      </w:r>
      <w:r w:rsidR="002250D7">
        <w:rPr>
          <w:rFonts w:ascii="Times New Roman" w:hAnsi="Times New Roman"/>
          <w:color w:val="1A1718"/>
          <w:lang w:val="en-US"/>
        </w:rPr>
        <w:t xml:space="preserve">, and to a lesser extent evaporite and carbonate weathering, </w:t>
      </w:r>
      <w:r w:rsidRPr="00A55BDF">
        <w:rPr>
          <w:rFonts w:ascii="Times New Roman" w:hAnsi="Times New Roman"/>
          <w:color w:val="1A1718"/>
          <w:lang w:val="en-US"/>
        </w:rPr>
        <w:t xml:space="preserve">delivered to the ocean </w:t>
      </w:r>
      <w:r w:rsidR="00670B65">
        <w:rPr>
          <w:rFonts w:ascii="Times New Roman" w:hAnsi="Times New Roman"/>
          <w:color w:val="1A1718"/>
          <w:lang w:val="en-US"/>
        </w:rPr>
        <w:t xml:space="preserve">by </w:t>
      </w:r>
      <w:r w:rsidRPr="00A55BDF">
        <w:rPr>
          <w:rFonts w:ascii="Times New Roman" w:hAnsi="Times New Roman"/>
          <w:color w:val="1A1718"/>
          <w:lang w:val="en-US"/>
        </w:rPr>
        <w:t xml:space="preserve">rivers </w:t>
      </w:r>
      <w:r w:rsidR="00747895" w:rsidRPr="00A55BDF">
        <w:rPr>
          <w:rFonts w:ascii="Times New Roman" w:hAnsi="Times New Roman"/>
          <w:noProof/>
          <w:color w:val="1A1718"/>
          <w:lang w:val="en-US"/>
        </w:rPr>
        <w:t>(Lemarchand et al., 200</w:t>
      </w:r>
      <w:r w:rsidR="00102A50">
        <w:rPr>
          <w:rFonts w:ascii="Times New Roman" w:hAnsi="Times New Roman"/>
          <w:noProof/>
          <w:color w:val="1A1718"/>
          <w:lang w:val="en-US"/>
        </w:rPr>
        <w:t>0</w:t>
      </w:r>
      <w:r w:rsidR="002250D7">
        <w:rPr>
          <w:rFonts w:ascii="Times New Roman" w:hAnsi="Times New Roman"/>
          <w:noProof/>
          <w:color w:val="1A1718"/>
          <w:lang w:val="en-US"/>
        </w:rPr>
        <w:t>;</w:t>
      </w:r>
      <w:r w:rsidR="00104910">
        <w:rPr>
          <w:rFonts w:ascii="Times New Roman" w:hAnsi="Times New Roman"/>
          <w:noProof/>
          <w:color w:val="1A1718"/>
          <w:lang w:val="en-US"/>
        </w:rPr>
        <w:t xml:space="preserve"> Rose et al., 2000;</w:t>
      </w:r>
      <w:r w:rsidR="002250D7">
        <w:rPr>
          <w:rFonts w:ascii="Times New Roman" w:hAnsi="Times New Roman"/>
          <w:noProof/>
          <w:color w:val="1A1718"/>
          <w:lang w:val="en-US"/>
        </w:rPr>
        <w:t xml:space="preserve"> Lemarchand and Gaillardet, 2006</w:t>
      </w:r>
      <w:r w:rsidRPr="00A55BDF">
        <w:rPr>
          <w:rFonts w:ascii="Times New Roman" w:hAnsi="Times New Roman"/>
          <w:noProof/>
          <w:color w:val="1A1718"/>
          <w:lang w:val="en-US"/>
        </w:rPr>
        <w:t>)</w:t>
      </w:r>
      <w:r w:rsidRPr="00A55BDF">
        <w:rPr>
          <w:rFonts w:ascii="Times New Roman" w:hAnsi="Times New Roman"/>
          <w:color w:val="1A1718"/>
          <w:lang w:val="en-US"/>
        </w:rPr>
        <w:t xml:space="preserve">, hydrothermal vents </w:t>
      </w:r>
      <w:r w:rsidR="002A509D" w:rsidRPr="00A55BDF">
        <w:rPr>
          <w:rFonts w:ascii="Times New Roman" w:hAnsi="Times New Roman"/>
          <w:noProof/>
          <w:color w:val="1A1718"/>
          <w:lang w:val="en-US"/>
        </w:rPr>
        <w:t>(You et al., 1993)</w:t>
      </w:r>
      <w:r w:rsidRPr="00A55BDF">
        <w:rPr>
          <w:rFonts w:ascii="Times New Roman" w:hAnsi="Times New Roman"/>
          <w:color w:val="1A1718"/>
          <w:lang w:val="en-US"/>
        </w:rPr>
        <w:t xml:space="preserve"> and fluid expelled from accretionary prisms</w:t>
      </w:r>
      <w:r w:rsidR="002A509D" w:rsidRPr="00A55BDF">
        <w:rPr>
          <w:rFonts w:ascii="Times New Roman" w:hAnsi="Times New Roman"/>
          <w:color w:val="1A1718"/>
          <w:lang w:val="en-US"/>
        </w:rPr>
        <w:t xml:space="preserve"> (Smith et al., 1995)</w:t>
      </w:r>
      <w:r w:rsidRPr="00A55BDF">
        <w:rPr>
          <w:rFonts w:ascii="Times New Roman" w:hAnsi="Times New Roman"/>
          <w:color w:val="1A1718"/>
          <w:lang w:val="en-US"/>
        </w:rPr>
        <w:t xml:space="preserve">.  The major </w:t>
      </w:r>
      <w:r w:rsidR="00B57632">
        <w:rPr>
          <w:rFonts w:ascii="Times New Roman" w:hAnsi="Times New Roman"/>
          <w:color w:val="1A1718"/>
          <w:lang w:val="en-US"/>
        </w:rPr>
        <w:t xml:space="preserve">loss terms </w:t>
      </w:r>
      <w:r w:rsidRPr="00A55BDF">
        <w:rPr>
          <w:rFonts w:ascii="Times New Roman" w:hAnsi="Times New Roman"/>
          <w:color w:val="1A1718"/>
          <w:lang w:val="en-US"/>
        </w:rPr>
        <w:t xml:space="preserve">are </w:t>
      </w:r>
      <w:r w:rsidR="002250D7">
        <w:rPr>
          <w:rFonts w:ascii="Times New Roman" w:hAnsi="Times New Roman"/>
          <w:color w:val="1A1718"/>
          <w:lang w:val="en-US"/>
        </w:rPr>
        <w:t xml:space="preserve">low temperature </w:t>
      </w:r>
      <w:r w:rsidRPr="00A55BDF">
        <w:rPr>
          <w:rFonts w:ascii="Times New Roman" w:hAnsi="Times New Roman"/>
          <w:color w:val="1A1718"/>
          <w:lang w:val="en-US"/>
        </w:rPr>
        <w:t>oceanic crust alteration</w:t>
      </w:r>
      <w:r w:rsidR="00CC0423" w:rsidRPr="00A55BDF">
        <w:rPr>
          <w:rFonts w:ascii="Times New Roman" w:hAnsi="Times New Roman"/>
          <w:color w:val="1A1718"/>
          <w:lang w:val="en-US"/>
        </w:rPr>
        <w:t xml:space="preserve"> (Smith et al., 1995)</w:t>
      </w:r>
      <w:r w:rsidRPr="00A55BDF">
        <w:rPr>
          <w:rFonts w:ascii="Times New Roman" w:hAnsi="Times New Roman"/>
          <w:color w:val="1A1718"/>
          <w:lang w:val="en-US"/>
        </w:rPr>
        <w:t xml:space="preserve">, adsorption onto sediments </w:t>
      </w:r>
      <w:r w:rsidR="00CC0423" w:rsidRPr="00A55BDF">
        <w:rPr>
          <w:rFonts w:ascii="Times New Roman" w:hAnsi="Times New Roman"/>
          <w:noProof/>
          <w:color w:val="1A1718"/>
          <w:lang w:val="en-US"/>
        </w:rPr>
        <w:t>(Spivack and Edmond, 1987)</w:t>
      </w:r>
      <w:r w:rsidRPr="00A55BDF">
        <w:rPr>
          <w:rFonts w:ascii="Times New Roman" w:hAnsi="Times New Roman"/>
          <w:color w:val="1A1718"/>
          <w:lang w:val="en-US"/>
        </w:rPr>
        <w:t xml:space="preserve"> and co-precipitation into carbonates </w:t>
      </w:r>
      <w:r w:rsidRPr="00A55BDF">
        <w:rPr>
          <w:rFonts w:ascii="Times New Roman" w:hAnsi="Times New Roman"/>
          <w:noProof/>
          <w:color w:val="1A1718"/>
          <w:lang w:val="en-US"/>
        </w:rPr>
        <w:t>(Hemming and Hanson, 1992)</w:t>
      </w:r>
      <w:r w:rsidRPr="00A55BDF">
        <w:rPr>
          <w:rFonts w:ascii="Times New Roman" w:hAnsi="Times New Roman"/>
          <w:color w:val="1A1718"/>
          <w:lang w:val="en-US"/>
        </w:rPr>
        <w:t>. In</w:t>
      </w:r>
      <w:r w:rsidR="00520EA1">
        <w:rPr>
          <w:rFonts w:ascii="Times New Roman" w:hAnsi="Times New Roman"/>
          <w:color w:val="1A1718"/>
          <w:lang w:val="en-US"/>
        </w:rPr>
        <w:t xml:space="preserve"> the</w:t>
      </w:r>
      <w:r w:rsidRPr="00A55BDF">
        <w:rPr>
          <w:rFonts w:ascii="Times New Roman" w:hAnsi="Times New Roman"/>
          <w:color w:val="1A1718"/>
          <w:lang w:val="en-US"/>
        </w:rPr>
        <w:t xml:space="preserve"> case</w:t>
      </w:r>
      <w:r w:rsidR="00B57632">
        <w:rPr>
          <w:rFonts w:ascii="Times New Roman" w:hAnsi="Times New Roman"/>
          <w:color w:val="1A1718"/>
          <w:lang w:val="en-US"/>
        </w:rPr>
        <w:t xml:space="preserve"> of all three outputs</w:t>
      </w:r>
      <w:r w:rsidRPr="00A55BDF">
        <w:rPr>
          <w:rFonts w:ascii="Times New Roman" w:hAnsi="Times New Roman"/>
          <w:color w:val="1A1718"/>
          <w:lang w:val="en-US"/>
        </w:rPr>
        <w:t xml:space="preserve"> the</w:t>
      </w:r>
      <w:r w:rsidR="008A1B96">
        <w:rPr>
          <w:rFonts w:ascii="Times New Roman" w:hAnsi="Times New Roman"/>
          <w:color w:val="1A1718"/>
          <w:lang w:val="en-US"/>
        </w:rPr>
        <w:t xml:space="preserve"> light</w:t>
      </w:r>
      <w:r w:rsidRPr="00A55BDF">
        <w:rPr>
          <w:rFonts w:ascii="Times New Roman" w:hAnsi="Times New Roman"/>
          <w:color w:val="1A1718"/>
          <w:lang w:val="en-US"/>
        </w:rPr>
        <w:t xml:space="preserve"> </w:t>
      </w:r>
      <w:r w:rsidRPr="00A55BDF">
        <w:rPr>
          <w:rFonts w:ascii="Times New Roman" w:hAnsi="Times New Roman"/>
          <w:color w:val="1A1718"/>
          <w:vertAlign w:val="superscript"/>
          <w:lang w:val="en-US"/>
        </w:rPr>
        <w:t>10</w:t>
      </w:r>
      <w:r w:rsidRPr="00A55BDF">
        <w:rPr>
          <w:rFonts w:ascii="Times New Roman" w:hAnsi="Times New Roman"/>
          <w:color w:val="1A1718"/>
          <w:lang w:val="en-US"/>
        </w:rPr>
        <w:t>B isotope is preferentially removed</w:t>
      </w:r>
      <w:r w:rsidR="00B57632">
        <w:rPr>
          <w:rFonts w:ascii="Times New Roman" w:hAnsi="Times New Roman"/>
          <w:color w:val="1A1718"/>
          <w:lang w:val="en-US"/>
        </w:rPr>
        <w:t xml:space="preserve"> relative to </w:t>
      </w:r>
      <w:r w:rsidR="00B57632" w:rsidRPr="005A1CA9">
        <w:rPr>
          <w:rFonts w:ascii="Times New Roman" w:hAnsi="Times New Roman"/>
          <w:color w:val="1A1718"/>
          <w:vertAlign w:val="superscript"/>
          <w:lang w:val="en-US"/>
        </w:rPr>
        <w:t>11</w:t>
      </w:r>
      <w:r w:rsidR="00B57632">
        <w:rPr>
          <w:rFonts w:ascii="Times New Roman" w:hAnsi="Times New Roman"/>
          <w:color w:val="1A1718"/>
          <w:lang w:val="en-US"/>
        </w:rPr>
        <w:t>B,</w:t>
      </w:r>
      <w:r w:rsidR="00B57632" w:rsidRPr="00A55BDF">
        <w:rPr>
          <w:rFonts w:ascii="Times New Roman" w:hAnsi="Times New Roman"/>
          <w:color w:val="1A1718"/>
          <w:lang w:val="en-US"/>
        </w:rPr>
        <w:t xml:space="preserve"> </w:t>
      </w:r>
      <w:r w:rsidR="00B57632">
        <w:rPr>
          <w:rFonts w:ascii="Times New Roman" w:hAnsi="Times New Roman"/>
          <w:color w:val="1A1718"/>
          <w:lang w:val="en-US"/>
        </w:rPr>
        <w:t>such that</w:t>
      </w:r>
      <w:r w:rsidR="00B57632" w:rsidRPr="00A55BDF">
        <w:rPr>
          <w:rFonts w:ascii="Times New Roman" w:hAnsi="Times New Roman"/>
          <w:color w:val="1A1718"/>
          <w:lang w:val="en-US"/>
        </w:rPr>
        <w:t xml:space="preserve"> </w:t>
      </w:r>
      <w:r w:rsidR="0000021C">
        <w:rPr>
          <w:rFonts w:ascii="Times New Roman" w:hAnsi="Times New Roman"/>
          <w:color w:val="1A1718"/>
          <w:lang w:val="en-US"/>
        </w:rPr>
        <w:t xml:space="preserve">the </w:t>
      </w:r>
      <w:r w:rsidR="00B57632" w:rsidRPr="00A55BDF">
        <w:rPr>
          <w:rFonts w:ascii="Times New Roman" w:hAnsi="Times New Roman"/>
          <w:color w:val="1A1718"/>
          <w:lang w:val="en-US"/>
        </w:rPr>
        <w:t xml:space="preserve">seawater </w:t>
      </w:r>
      <w:r w:rsidR="00B57632" w:rsidRPr="00CE1586">
        <w:rPr>
          <w:rFonts w:ascii="Times New Roman" w:hAnsi="Times New Roman"/>
          <w:color w:val="1A1718"/>
          <w:vertAlign w:val="superscript"/>
          <w:lang w:val="en-US"/>
        </w:rPr>
        <w:t>11</w:t>
      </w:r>
      <w:r w:rsidR="00B57632">
        <w:rPr>
          <w:rFonts w:ascii="Times New Roman" w:hAnsi="Times New Roman"/>
          <w:color w:val="1A1718"/>
          <w:lang w:val="en-US"/>
        </w:rPr>
        <w:t>B/</w:t>
      </w:r>
      <w:r w:rsidR="00B57632" w:rsidRPr="00CE1586">
        <w:rPr>
          <w:rFonts w:ascii="Times New Roman" w:hAnsi="Times New Roman"/>
          <w:color w:val="1A1718"/>
          <w:vertAlign w:val="superscript"/>
          <w:lang w:val="en-US"/>
        </w:rPr>
        <w:t>10</w:t>
      </w:r>
      <w:r w:rsidR="00B57632">
        <w:rPr>
          <w:rFonts w:ascii="Times New Roman" w:hAnsi="Times New Roman"/>
          <w:color w:val="1A1718"/>
          <w:lang w:val="en-US"/>
        </w:rPr>
        <w:t>B ratio</w:t>
      </w:r>
      <w:r w:rsidR="00B57632" w:rsidRPr="00A55BDF">
        <w:rPr>
          <w:rFonts w:ascii="Times New Roman" w:hAnsi="Times New Roman"/>
          <w:color w:val="1A1718"/>
          <w:lang w:val="en-US"/>
        </w:rPr>
        <w:t xml:space="preserve"> (</w:t>
      </w:r>
      <w:r w:rsidR="00B57632">
        <w:rPr>
          <w:rFonts w:ascii="Times New Roman" w:hAnsi="Times New Roman"/>
          <w:color w:val="1A1718"/>
          <w:lang w:val="en-US"/>
        </w:rPr>
        <w:t xml:space="preserve"> </w:t>
      </w:r>
      <w:r w:rsidR="00B57632" w:rsidRPr="00670B65">
        <w:rPr>
          <w:color w:val="1A1718"/>
          <w:lang w:val="en-US"/>
        </w:rPr>
        <w:t>δ</w:t>
      </w:r>
      <w:r w:rsidR="00B57632" w:rsidRPr="00670B65">
        <w:rPr>
          <w:color w:val="1A1718"/>
          <w:vertAlign w:val="superscript"/>
          <w:lang w:val="en-US"/>
        </w:rPr>
        <w:t>11</w:t>
      </w:r>
      <w:r w:rsidR="00B57632" w:rsidRPr="00670B65">
        <w:rPr>
          <w:color w:val="1A1718"/>
          <w:lang w:val="en-US"/>
        </w:rPr>
        <w:t>B</w:t>
      </w:r>
      <w:r w:rsidR="00B57632" w:rsidRPr="00CE1586">
        <w:rPr>
          <w:rFonts w:ascii="Times New Roman" w:hAnsi="Times New Roman"/>
          <w:color w:val="1A1718"/>
          <w:vertAlign w:val="subscript"/>
          <w:lang w:val="en-US"/>
        </w:rPr>
        <w:t>sw</w:t>
      </w:r>
      <w:r w:rsidR="00B57632">
        <w:rPr>
          <w:rFonts w:ascii="Times New Roman" w:hAnsi="Times New Roman"/>
          <w:color w:val="1A1718"/>
          <w:lang w:val="en-US"/>
        </w:rPr>
        <w:t xml:space="preserve">, </w:t>
      </w:r>
      <w:r w:rsidR="00B57632" w:rsidRPr="00A55BDF">
        <w:rPr>
          <w:rFonts w:ascii="Times New Roman" w:hAnsi="Times New Roman"/>
          <w:color w:val="1A1718"/>
          <w:lang w:val="en-US"/>
        </w:rPr>
        <w:t>39.61‰)</w:t>
      </w:r>
      <w:r w:rsidR="00B57632">
        <w:rPr>
          <w:rFonts w:ascii="Times New Roman" w:hAnsi="Times New Roman"/>
          <w:color w:val="1A1718"/>
          <w:lang w:val="en-US"/>
        </w:rPr>
        <w:t xml:space="preserve"> </w:t>
      </w:r>
      <w:r w:rsidR="0000021C">
        <w:rPr>
          <w:rFonts w:ascii="Times New Roman" w:hAnsi="Times New Roman"/>
          <w:color w:val="1A1718"/>
          <w:lang w:val="en-US"/>
        </w:rPr>
        <w:t xml:space="preserve">is </w:t>
      </w:r>
      <w:r w:rsidR="00B57632">
        <w:rPr>
          <w:rFonts w:ascii="Times New Roman" w:hAnsi="Times New Roman"/>
          <w:color w:val="1A1718"/>
          <w:lang w:val="en-US"/>
        </w:rPr>
        <w:t>significantly greater</w:t>
      </w:r>
      <w:r w:rsidR="00B57632" w:rsidRPr="00A55BDF">
        <w:rPr>
          <w:rFonts w:ascii="Times New Roman" w:hAnsi="Times New Roman"/>
          <w:color w:val="1A1718"/>
          <w:lang w:val="en-US"/>
        </w:rPr>
        <w:t xml:space="preserve"> than</w:t>
      </w:r>
      <w:r w:rsidR="00B57632">
        <w:rPr>
          <w:rFonts w:ascii="Times New Roman" w:hAnsi="Times New Roman"/>
          <w:color w:val="1A1718"/>
          <w:lang w:val="en-US"/>
        </w:rPr>
        <w:t xml:space="preserve"> that of the cumulative</w:t>
      </w:r>
      <w:r w:rsidR="00B57632" w:rsidRPr="00A55BDF">
        <w:rPr>
          <w:rFonts w:ascii="Times New Roman" w:hAnsi="Times New Roman"/>
          <w:color w:val="1A1718"/>
          <w:lang w:val="en-US"/>
        </w:rPr>
        <w:t xml:space="preserve"> inputs (</w:t>
      </w:r>
      <w:r w:rsidR="00B57632" w:rsidRPr="00670B65">
        <w:rPr>
          <w:color w:val="1A1718"/>
          <w:lang w:val="en-US"/>
        </w:rPr>
        <w:t>δ</w:t>
      </w:r>
      <w:r w:rsidR="00B57632" w:rsidRPr="00670B65">
        <w:rPr>
          <w:color w:val="1A1718"/>
          <w:vertAlign w:val="superscript"/>
          <w:lang w:val="en-US"/>
        </w:rPr>
        <w:t>11</w:t>
      </w:r>
      <w:r w:rsidR="00B57632" w:rsidRPr="00670B65">
        <w:rPr>
          <w:color w:val="1A1718"/>
          <w:lang w:val="en-US"/>
        </w:rPr>
        <w:t>B</w:t>
      </w:r>
      <w:r w:rsidR="00B57632">
        <w:rPr>
          <w:rFonts w:ascii="Times New Roman" w:hAnsi="Times New Roman"/>
          <w:color w:val="1A1718"/>
          <w:lang w:val="en-US"/>
        </w:rPr>
        <w:t xml:space="preserve"> </w:t>
      </w:r>
      <w:r w:rsidR="00B57632">
        <w:rPr>
          <w:rStyle w:val="st"/>
          <w:rFonts w:ascii="Times New Roman" w:hAnsi="Times New Roman"/>
        </w:rPr>
        <w:t xml:space="preserve">of </w:t>
      </w:r>
      <w:r w:rsidR="00093767" w:rsidRPr="00CE1586">
        <w:rPr>
          <w:rFonts w:ascii="Times New Roman" w:eastAsiaTheme="minorEastAsia" w:hAnsi="Times New Roman"/>
          <w:color w:val="1A1A1A"/>
          <w:lang w:val="en-US" w:eastAsia="ja-JP"/>
        </w:rPr>
        <w:t>~</w:t>
      </w:r>
      <w:r w:rsidR="00B57632" w:rsidRPr="00A55BDF">
        <w:rPr>
          <w:rFonts w:ascii="Times New Roman" w:hAnsi="Times New Roman"/>
          <w:color w:val="1A1718"/>
          <w:lang w:val="en-US"/>
        </w:rPr>
        <w:t>10.4‰</w:t>
      </w:r>
      <w:r w:rsidR="00B57632">
        <w:rPr>
          <w:rFonts w:ascii="Times New Roman" w:hAnsi="Times New Roman"/>
          <w:color w:val="1A1718"/>
          <w:lang w:val="en-US"/>
        </w:rPr>
        <w:t>; Lemarchand et al., 2000</w:t>
      </w:r>
      <w:r w:rsidR="00B57632" w:rsidRPr="00A55BDF">
        <w:rPr>
          <w:rFonts w:ascii="Times New Roman" w:hAnsi="Times New Roman"/>
          <w:color w:val="1A1718"/>
          <w:lang w:val="en-US"/>
        </w:rPr>
        <w:t xml:space="preserve">). </w:t>
      </w:r>
      <w:r w:rsidRPr="00A55BDF">
        <w:rPr>
          <w:rFonts w:ascii="Times New Roman" w:hAnsi="Times New Roman"/>
          <w:color w:val="1A1718"/>
          <w:lang w:val="en-US"/>
        </w:rPr>
        <w:t xml:space="preserve"> </w:t>
      </w:r>
      <w:r w:rsidR="00B57632">
        <w:rPr>
          <w:rFonts w:ascii="Times New Roman" w:hAnsi="Times New Roman"/>
          <w:color w:val="1A1718"/>
          <w:lang w:val="en-US"/>
        </w:rPr>
        <w:t>Our understanding of the modern boron fluxes outlined above</w:t>
      </w:r>
      <w:r w:rsidR="009A2CB8">
        <w:rPr>
          <w:rFonts w:ascii="Times New Roman" w:hAnsi="Times New Roman"/>
          <w:color w:val="1A1718"/>
          <w:lang w:val="en-US"/>
        </w:rPr>
        <w:t>, and illustrated in Fig. 1,</w:t>
      </w:r>
      <w:r w:rsidR="00B57632">
        <w:rPr>
          <w:rFonts w:ascii="Times New Roman" w:hAnsi="Times New Roman"/>
          <w:color w:val="1A1718"/>
          <w:lang w:val="en-US"/>
        </w:rPr>
        <w:t xml:space="preserve"> implies a significant imbalance between inputs and outputs and</w:t>
      </w:r>
      <w:r w:rsidR="00345C6A">
        <w:rPr>
          <w:rFonts w:ascii="Times New Roman" w:hAnsi="Times New Roman"/>
          <w:color w:val="1A1718"/>
          <w:lang w:val="en-US"/>
        </w:rPr>
        <w:t xml:space="preserve"> consequently </w:t>
      </w:r>
      <w:r w:rsidR="00B57632">
        <w:rPr>
          <w:rFonts w:ascii="Times New Roman" w:hAnsi="Times New Roman"/>
          <w:color w:val="1A1718"/>
          <w:lang w:val="en-US"/>
        </w:rPr>
        <w:t>the poorly constrained ocean-atmosphere boron fluxes may also be</w:t>
      </w:r>
      <w:r w:rsidR="0000021C">
        <w:rPr>
          <w:rFonts w:ascii="Times New Roman" w:hAnsi="Times New Roman"/>
          <w:color w:val="1A1718"/>
          <w:lang w:val="en-US"/>
        </w:rPr>
        <w:t xml:space="preserve"> an</w:t>
      </w:r>
      <w:r w:rsidR="00B57632">
        <w:rPr>
          <w:rFonts w:ascii="Times New Roman" w:hAnsi="Times New Roman"/>
          <w:color w:val="1A1718"/>
          <w:lang w:val="en-US"/>
        </w:rPr>
        <w:t xml:space="preserve"> important part of the ocean’s modern boron mass balance</w:t>
      </w:r>
      <w:r w:rsidR="00B57632" w:rsidRPr="00A55BDF" w:rsidDel="00345C6A">
        <w:rPr>
          <w:rFonts w:ascii="Times New Roman" w:hAnsi="Times New Roman"/>
          <w:color w:val="1A1718"/>
          <w:lang w:val="en-US"/>
        </w:rPr>
        <w:t xml:space="preserve"> </w:t>
      </w:r>
      <w:r w:rsidRPr="00A55BDF">
        <w:rPr>
          <w:rFonts w:ascii="Times New Roman" w:hAnsi="Times New Roman"/>
          <w:color w:val="1A1718"/>
          <w:lang w:val="en-US"/>
        </w:rPr>
        <w:t xml:space="preserve"> </w:t>
      </w:r>
      <w:r w:rsidRPr="00A55BDF">
        <w:rPr>
          <w:rFonts w:ascii="Times New Roman" w:hAnsi="Times New Roman"/>
          <w:noProof/>
          <w:color w:val="1A1718"/>
          <w:lang w:val="en-US"/>
        </w:rPr>
        <w:t>(Park and Schlesinger, 2002)</w:t>
      </w:r>
      <w:r w:rsidRPr="00A55BDF">
        <w:rPr>
          <w:rFonts w:ascii="Times New Roman" w:hAnsi="Times New Roman"/>
          <w:color w:val="1A1718"/>
          <w:lang w:val="en-US"/>
        </w:rPr>
        <w:t>.</w:t>
      </w:r>
      <w:r w:rsidR="00345C6A">
        <w:rPr>
          <w:rFonts w:ascii="Times New Roman" w:hAnsi="Times New Roman"/>
          <w:color w:val="1A1718"/>
          <w:lang w:val="en-US"/>
        </w:rPr>
        <w:t xml:space="preserve"> </w:t>
      </w:r>
      <w:r w:rsidR="00520EA1">
        <w:rPr>
          <w:rFonts w:ascii="Times New Roman" w:hAnsi="Times New Roman"/>
          <w:color w:val="1A1718"/>
          <w:lang w:val="en-US"/>
        </w:rPr>
        <w:t>Here</w:t>
      </w:r>
      <w:r w:rsidR="00B57632">
        <w:rPr>
          <w:rFonts w:ascii="Times New Roman" w:hAnsi="Times New Roman"/>
          <w:color w:val="1A1718"/>
          <w:lang w:val="en-US"/>
        </w:rPr>
        <w:t>, h</w:t>
      </w:r>
      <w:r w:rsidR="004E58F1">
        <w:rPr>
          <w:rFonts w:ascii="Times New Roman" w:hAnsi="Times New Roman"/>
          <w:color w:val="1A1718"/>
          <w:lang w:val="en-US"/>
        </w:rPr>
        <w:t xml:space="preserve">owever, </w:t>
      </w:r>
      <w:r w:rsidR="009A2CB8">
        <w:rPr>
          <w:rFonts w:ascii="Times New Roman" w:hAnsi="Times New Roman"/>
          <w:color w:val="1A1718"/>
          <w:lang w:val="en-US"/>
        </w:rPr>
        <w:t>we follow Lemarchand et al., (200</w:t>
      </w:r>
      <w:r w:rsidR="0054458C">
        <w:rPr>
          <w:rFonts w:ascii="Times New Roman" w:hAnsi="Times New Roman"/>
          <w:color w:val="1A1718"/>
          <w:lang w:val="en-US"/>
        </w:rPr>
        <w:t>0</w:t>
      </w:r>
      <w:r w:rsidR="009A2CB8">
        <w:rPr>
          <w:rFonts w:ascii="Times New Roman" w:hAnsi="Times New Roman"/>
          <w:color w:val="1A1718"/>
          <w:lang w:val="en-US"/>
        </w:rPr>
        <w:t xml:space="preserve">) </w:t>
      </w:r>
      <w:r w:rsidR="00520EA1">
        <w:rPr>
          <w:rFonts w:ascii="Times New Roman" w:hAnsi="Times New Roman"/>
          <w:color w:val="1A1718"/>
          <w:lang w:val="en-US"/>
        </w:rPr>
        <w:t xml:space="preserve">in </w:t>
      </w:r>
      <w:r w:rsidR="009A2CB8">
        <w:rPr>
          <w:rFonts w:ascii="Times New Roman" w:hAnsi="Times New Roman"/>
          <w:color w:val="1A1718"/>
          <w:lang w:val="en-US"/>
        </w:rPr>
        <w:t>assu</w:t>
      </w:r>
      <w:r w:rsidR="00520EA1">
        <w:rPr>
          <w:rFonts w:ascii="Times New Roman" w:hAnsi="Times New Roman"/>
          <w:color w:val="1A1718"/>
          <w:lang w:val="en-US"/>
        </w:rPr>
        <w:t>ming that</w:t>
      </w:r>
      <w:r w:rsidR="009A2CB8">
        <w:rPr>
          <w:rFonts w:ascii="Times New Roman" w:hAnsi="Times New Roman"/>
          <w:color w:val="1A1718"/>
          <w:lang w:val="en-US"/>
        </w:rPr>
        <w:t xml:space="preserve"> </w:t>
      </w:r>
      <w:r w:rsidR="0054458C">
        <w:rPr>
          <w:rFonts w:ascii="Times New Roman" w:hAnsi="Times New Roman"/>
          <w:color w:val="1A1718"/>
          <w:lang w:val="en-US"/>
        </w:rPr>
        <w:t>atmospheric fluxes are</w:t>
      </w:r>
      <w:r w:rsidR="00345C6A">
        <w:rPr>
          <w:rFonts w:ascii="Times New Roman" w:hAnsi="Times New Roman"/>
          <w:color w:val="1A1718"/>
          <w:lang w:val="en-US"/>
        </w:rPr>
        <w:t xml:space="preserve"> unlikely to </w:t>
      </w:r>
      <w:r w:rsidR="0054458C">
        <w:rPr>
          <w:rFonts w:ascii="Times New Roman" w:hAnsi="Times New Roman"/>
          <w:color w:val="1A1718"/>
          <w:lang w:val="en-US"/>
        </w:rPr>
        <w:t xml:space="preserve">have varied </w:t>
      </w:r>
      <w:r w:rsidR="00345C6A">
        <w:rPr>
          <w:rFonts w:ascii="Times New Roman" w:hAnsi="Times New Roman"/>
          <w:color w:val="1A1718"/>
          <w:lang w:val="en-US"/>
        </w:rPr>
        <w:t>significant</w:t>
      </w:r>
      <w:r w:rsidR="0054458C">
        <w:rPr>
          <w:rFonts w:ascii="Times New Roman" w:hAnsi="Times New Roman"/>
          <w:color w:val="1A1718"/>
          <w:lang w:val="en-US"/>
        </w:rPr>
        <w:t xml:space="preserve">ly </w:t>
      </w:r>
      <w:r w:rsidR="00345C6A">
        <w:rPr>
          <w:rFonts w:ascii="Times New Roman" w:hAnsi="Times New Roman"/>
          <w:color w:val="1A1718"/>
          <w:lang w:val="en-US"/>
        </w:rPr>
        <w:t>on geological times</w:t>
      </w:r>
      <w:r w:rsidR="0054458C">
        <w:rPr>
          <w:rFonts w:ascii="Times New Roman" w:hAnsi="Times New Roman"/>
          <w:color w:val="1A1718"/>
          <w:lang w:val="en-US"/>
        </w:rPr>
        <w:t>cales</w:t>
      </w:r>
      <w:r w:rsidR="00345C6A">
        <w:rPr>
          <w:rFonts w:ascii="Times New Roman" w:hAnsi="Times New Roman"/>
          <w:color w:val="1A1718"/>
          <w:lang w:val="en-US"/>
        </w:rPr>
        <w:t xml:space="preserve"> and therefore will not be discussed further in reference to the Neogene</w:t>
      </w:r>
      <w:r w:rsidR="00776AB8">
        <w:rPr>
          <w:rFonts w:ascii="Times New Roman" w:hAnsi="Times New Roman"/>
          <w:color w:val="1A1718"/>
          <w:lang w:val="en-US"/>
        </w:rPr>
        <w:t xml:space="preserve"> </w:t>
      </w:r>
      <w:r w:rsidR="00776AB8" w:rsidRPr="00670B65">
        <w:rPr>
          <w:color w:val="1A1718"/>
          <w:lang w:val="en-US"/>
        </w:rPr>
        <w:t>δ</w:t>
      </w:r>
      <w:r w:rsidR="00776AB8" w:rsidRPr="00670B65">
        <w:rPr>
          <w:color w:val="1A1718"/>
          <w:vertAlign w:val="superscript"/>
          <w:lang w:val="en-US"/>
        </w:rPr>
        <w:t>11</w:t>
      </w:r>
      <w:r w:rsidR="00776AB8" w:rsidRPr="00670B65">
        <w:rPr>
          <w:color w:val="1A1718"/>
          <w:lang w:val="en-US"/>
        </w:rPr>
        <w:t>B</w:t>
      </w:r>
      <w:r w:rsidR="00776AB8">
        <w:rPr>
          <w:color w:val="1A1718"/>
          <w:vertAlign w:val="subscript"/>
          <w:lang w:val="en-US"/>
        </w:rPr>
        <w:t>sw</w:t>
      </w:r>
      <w:r w:rsidR="00345C6A">
        <w:rPr>
          <w:rFonts w:ascii="Times New Roman" w:hAnsi="Times New Roman"/>
          <w:color w:val="1A1718"/>
          <w:lang w:val="en-US"/>
        </w:rPr>
        <w:t xml:space="preserve"> record</w:t>
      </w:r>
      <w:r w:rsidR="00776AB8">
        <w:rPr>
          <w:rFonts w:ascii="Times New Roman" w:hAnsi="Times New Roman"/>
          <w:color w:val="1A1718"/>
          <w:lang w:val="en-US"/>
        </w:rPr>
        <w:t xml:space="preserve"> we present</w:t>
      </w:r>
      <w:r w:rsidR="00345C6A">
        <w:rPr>
          <w:rFonts w:ascii="Times New Roman" w:hAnsi="Times New Roman"/>
          <w:color w:val="1A1718"/>
          <w:lang w:val="en-US"/>
        </w:rPr>
        <w:t xml:space="preserve">. </w:t>
      </w:r>
    </w:p>
    <w:p w14:paraId="06A84FCB" w14:textId="77777777" w:rsidR="00A55BDF" w:rsidRPr="00A55BDF" w:rsidRDefault="00A55BDF" w:rsidP="00A55BDF">
      <w:pPr>
        <w:widowControl w:val="0"/>
        <w:autoSpaceDE w:val="0"/>
        <w:autoSpaceDN w:val="0"/>
        <w:adjustRightInd w:val="0"/>
        <w:spacing w:after="0" w:line="240" w:lineRule="auto"/>
        <w:rPr>
          <w:rFonts w:ascii="Times New Roman" w:eastAsiaTheme="minorEastAsia" w:hAnsi="Times New Roman"/>
          <w:sz w:val="20"/>
          <w:szCs w:val="20"/>
          <w:lang w:val="en-US" w:eastAsia="ja-JP"/>
        </w:rPr>
      </w:pPr>
    </w:p>
    <w:p w14:paraId="1CDCABC9" w14:textId="22681065" w:rsidR="00EC2D26" w:rsidRDefault="008B0392" w:rsidP="00CE1586">
      <w:pPr>
        <w:widowControl w:val="0"/>
        <w:autoSpaceDE w:val="0"/>
        <w:autoSpaceDN w:val="0"/>
        <w:adjustRightInd w:val="0"/>
        <w:spacing w:after="240"/>
        <w:rPr>
          <w:color w:val="1A1718"/>
          <w:lang w:val="en-US"/>
        </w:rPr>
      </w:pPr>
      <w:r>
        <w:rPr>
          <w:color w:val="1A1718"/>
          <w:lang w:val="en-US"/>
        </w:rPr>
        <w:t xml:space="preserve">Unlike many other </w:t>
      </w:r>
      <w:r w:rsidR="00015A51">
        <w:rPr>
          <w:color w:val="1A1718"/>
          <w:lang w:val="en-US"/>
        </w:rPr>
        <w:t xml:space="preserve">isotope </w:t>
      </w:r>
      <w:r>
        <w:rPr>
          <w:color w:val="1A1718"/>
          <w:lang w:val="en-US"/>
        </w:rPr>
        <w:t xml:space="preserve">systems (e.g. </w:t>
      </w:r>
      <w:r w:rsidR="009E6EB2" w:rsidRPr="0095368F">
        <w:sym w:font="Symbol" w:char="0064"/>
      </w:r>
      <w:r w:rsidR="009E6EB2" w:rsidRPr="0095368F">
        <w:rPr>
          <w:vertAlign w:val="superscript"/>
        </w:rPr>
        <w:t>7</w:t>
      </w:r>
      <w:r w:rsidR="009E6EB2" w:rsidRPr="0095368F">
        <w:t>Li</w:t>
      </w:r>
      <w:r w:rsidR="009E6EB2" w:rsidRPr="0095368F">
        <w:rPr>
          <w:vertAlign w:val="subscript"/>
        </w:rPr>
        <w:t>sw</w:t>
      </w:r>
      <w:r w:rsidR="009E6EB2">
        <w:t xml:space="preserve">, </w:t>
      </w:r>
      <w:r w:rsidR="009E6EB2" w:rsidRPr="0095368F">
        <w:sym w:font="Symbol" w:char="0064"/>
      </w:r>
      <w:r w:rsidR="009E6EB2" w:rsidRPr="0095368F">
        <w:rPr>
          <w:vertAlign w:val="superscript"/>
        </w:rPr>
        <w:t>26</w:t>
      </w:r>
      <w:r w:rsidR="009E6EB2" w:rsidRPr="0095368F">
        <w:t>Mg</w:t>
      </w:r>
      <w:r w:rsidR="009E6EB2" w:rsidRPr="0095368F">
        <w:rPr>
          <w:vertAlign w:val="subscript"/>
        </w:rPr>
        <w:t>sw</w:t>
      </w:r>
      <w:r w:rsidR="009E6EB2">
        <w:t xml:space="preserve">, </w:t>
      </w:r>
      <w:r w:rsidR="009E6EB2" w:rsidRPr="0095368F">
        <w:sym w:font="Symbol" w:char="0064"/>
      </w:r>
      <w:r w:rsidR="009E6EB2" w:rsidRPr="0095368F">
        <w:rPr>
          <w:vertAlign w:val="superscript"/>
        </w:rPr>
        <w:t>44/40</w:t>
      </w:r>
      <w:r w:rsidR="009E6EB2" w:rsidRPr="0095368F">
        <w:t>Ca</w:t>
      </w:r>
      <w:r w:rsidR="009E6EB2" w:rsidRPr="0095368F">
        <w:rPr>
          <w:vertAlign w:val="subscript"/>
        </w:rPr>
        <w:t>sw</w:t>
      </w:r>
      <w:r w:rsidR="009E6EB2" w:rsidRPr="00520EA1">
        <w:t>,</w:t>
      </w:r>
      <w:r w:rsidR="009E6EB2" w:rsidRPr="00520EA1">
        <w:rPr>
          <w:rFonts w:ascii="Arial" w:eastAsiaTheme="minorEastAsia" w:hAnsi="Arial" w:cs="Arial"/>
          <w:b/>
          <w:bCs/>
          <w:sz w:val="26"/>
          <w:szCs w:val="26"/>
          <w:lang w:val="en-US" w:eastAsia="ja-JP"/>
        </w:rPr>
        <w:t xml:space="preserve"> </w:t>
      </w:r>
      <w:r w:rsidR="009E6EB2" w:rsidRPr="00520EA1">
        <w:rPr>
          <w:rFonts w:eastAsiaTheme="minorEastAsia"/>
          <w:bCs/>
          <w:vertAlign w:val="superscript"/>
          <w:lang w:val="en-US" w:eastAsia="ja-JP"/>
        </w:rPr>
        <w:t>87</w:t>
      </w:r>
      <w:r w:rsidR="009E6EB2" w:rsidRPr="00520EA1">
        <w:rPr>
          <w:rFonts w:eastAsiaTheme="minorEastAsia"/>
          <w:bCs/>
          <w:lang w:val="en-US" w:eastAsia="ja-JP"/>
        </w:rPr>
        <w:t>Sr</w:t>
      </w:r>
      <w:r w:rsidR="009E6EB2" w:rsidRPr="00520EA1">
        <w:rPr>
          <w:rFonts w:eastAsiaTheme="minorEastAsia"/>
          <w:lang w:val="en-US" w:eastAsia="ja-JP"/>
        </w:rPr>
        <w:t>/</w:t>
      </w:r>
      <w:r w:rsidR="009E6EB2" w:rsidRPr="00520EA1">
        <w:rPr>
          <w:rFonts w:eastAsiaTheme="minorEastAsia"/>
          <w:bCs/>
          <w:vertAlign w:val="superscript"/>
          <w:lang w:val="en-US" w:eastAsia="ja-JP"/>
        </w:rPr>
        <w:t>86</w:t>
      </w:r>
      <w:r w:rsidR="009E6EB2" w:rsidRPr="00520EA1">
        <w:rPr>
          <w:rFonts w:eastAsiaTheme="minorEastAsia"/>
          <w:bCs/>
          <w:lang w:val="en-US" w:eastAsia="ja-JP"/>
        </w:rPr>
        <w:t>Sr</w:t>
      </w:r>
      <w:r w:rsidRPr="00520EA1">
        <w:rPr>
          <w:lang w:val="en-US"/>
        </w:rPr>
        <w:t>)</w:t>
      </w:r>
      <w:r w:rsidR="00520EA1">
        <w:rPr>
          <w:lang w:val="en-US"/>
        </w:rPr>
        <w:t>,</w:t>
      </w:r>
      <w:r w:rsidRPr="00520EA1">
        <w:rPr>
          <w:lang w:val="en-US"/>
        </w:rPr>
        <w:t xml:space="preserve"> to date</w:t>
      </w:r>
      <w:r w:rsidR="00520EA1">
        <w:rPr>
          <w:lang w:val="en-US"/>
        </w:rPr>
        <w:t>,</w:t>
      </w:r>
      <w:r>
        <w:rPr>
          <w:color w:val="1A1718"/>
          <w:lang w:val="en-US"/>
        </w:rPr>
        <w:t xml:space="preserve"> no</w:t>
      </w:r>
      <w:r w:rsidR="00520EA1">
        <w:rPr>
          <w:color w:val="1A1718"/>
          <w:lang w:val="en-US"/>
        </w:rPr>
        <w:t xml:space="preserve"> direct</w:t>
      </w:r>
      <w:r>
        <w:rPr>
          <w:color w:val="1A1718"/>
          <w:lang w:val="en-US"/>
        </w:rPr>
        <w:t xml:space="preserve"> archive has been </w:t>
      </w:r>
      <w:r w:rsidR="00520EA1">
        <w:rPr>
          <w:color w:val="1A1718"/>
          <w:lang w:val="en-US"/>
        </w:rPr>
        <w:t>documented for</w:t>
      </w:r>
      <w:r>
        <w:rPr>
          <w:color w:val="1A1718"/>
          <w:lang w:val="en-US"/>
        </w:rPr>
        <w:t xml:space="preserve"> </w:t>
      </w:r>
      <w:r w:rsidRPr="00771EBC">
        <w:rPr>
          <w:rFonts w:ascii="Times New Roman" w:hAnsi="Times New Roman"/>
          <w:color w:val="1A1718"/>
          <w:lang w:val="en-US"/>
        </w:rPr>
        <w:t>δ</w:t>
      </w:r>
      <w:r w:rsidRPr="00771EBC">
        <w:rPr>
          <w:color w:val="1A1718"/>
          <w:vertAlign w:val="superscript"/>
          <w:lang w:val="en-US"/>
        </w:rPr>
        <w:t>11</w:t>
      </w:r>
      <w:r w:rsidRPr="00771EBC">
        <w:rPr>
          <w:color w:val="1A1718"/>
          <w:lang w:val="en-US"/>
        </w:rPr>
        <w:t>B</w:t>
      </w:r>
      <w:r w:rsidR="00811286">
        <w:rPr>
          <w:color w:val="1A1718"/>
          <w:vertAlign w:val="subscript"/>
          <w:lang w:val="en-US"/>
        </w:rPr>
        <w:t>sw</w:t>
      </w:r>
      <w:r>
        <w:rPr>
          <w:color w:val="1A1718"/>
          <w:lang w:val="en-US"/>
        </w:rPr>
        <w:t xml:space="preserve">.  </w:t>
      </w:r>
      <w:r w:rsidR="00670B65">
        <w:rPr>
          <w:color w:val="1A1718"/>
          <w:lang w:val="en-US"/>
        </w:rPr>
        <w:t>This is a result of the pH</w:t>
      </w:r>
      <w:r w:rsidR="009E6EB2">
        <w:rPr>
          <w:color w:val="1A1718"/>
          <w:lang w:val="en-US"/>
        </w:rPr>
        <w:t xml:space="preserve">-dependent boron </w:t>
      </w:r>
      <w:r w:rsidR="00670B65">
        <w:rPr>
          <w:color w:val="1A1718"/>
          <w:lang w:val="en-US"/>
        </w:rPr>
        <w:t xml:space="preserve">speciation in seawater </w:t>
      </w:r>
      <w:r w:rsidR="003637BE">
        <w:rPr>
          <w:color w:val="1A1718"/>
          <w:lang w:val="en-US"/>
        </w:rPr>
        <w:t>upon which</w:t>
      </w:r>
      <w:r w:rsidR="00670B65">
        <w:rPr>
          <w:color w:val="1A1718"/>
          <w:lang w:val="en-US"/>
        </w:rPr>
        <w:t xml:space="preserve"> the </w:t>
      </w:r>
      <w:r w:rsidR="00670B65" w:rsidRPr="00670B65">
        <w:rPr>
          <w:color w:val="1A1718"/>
          <w:lang w:val="en-US"/>
        </w:rPr>
        <w:t>δ</w:t>
      </w:r>
      <w:r w:rsidR="00670B65" w:rsidRPr="00670B65">
        <w:rPr>
          <w:color w:val="1A1718"/>
          <w:vertAlign w:val="superscript"/>
          <w:lang w:val="en-US"/>
        </w:rPr>
        <w:t>11</w:t>
      </w:r>
      <w:r w:rsidR="00670B65" w:rsidRPr="00670B65">
        <w:rPr>
          <w:color w:val="1A1718"/>
          <w:lang w:val="en-US"/>
        </w:rPr>
        <w:t>B</w:t>
      </w:r>
      <w:r w:rsidR="00670B65">
        <w:rPr>
          <w:color w:val="1A1718"/>
          <w:lang w:val="en-US"/>
        </w:rPr>
        <w:t>-pH proxy</w:t>
      </w:r>
      <w:r w:rsidR="003637BE">
        <w:rPr>
          <w:color w:val="1A1718"/>
          <w:lang w:val="en-US"/>
        </w:rPr>
        <w:t xml:space="preserve"> is based</w:t>
      </w:r>
      <w:r w:rsidR="00670B65">
        <w:rPr>
          <w:color w:val="1A1718"/>
          <w:lang w:val="en-US"/>
        </w:rPr>
        <w:t xml:space="preserve"> </w:t>
      </w:r>
      <w:r w:rsidR="00670B65">
        <w:rPr>
          <w:noProof/>
          <w:color w:val="1A1718"/>
          <w:lang w:val="en-US"/>
        </w:rPr>
        <w:t>(</w:t>
      </w:r>
      <w:r w:rsidR="00F41A68" w:rsidRPr="00950445">
        <w:rPr>
          <w:rFonts w:eastAsiaTheme="minorEastAsia" w:cs="Helvetica"/>
          <w:lang w:val="en-US" w:eastAsia="ja-JP"/>
        </w:rPr>
        <w:t>Hemming &amp; Hanson 1992</w:t>
      </w:r>
      <w:r w:rsidR="003637BE">
        <w:rPr>
          <w:color w:val="1A1718"/>
          <w:lang w:val="en-US"/>
        </w:rPr>
        <w:t xml:space="preserve">) </w:t>
      </w:r>
      <w:r w:rsidR="009A2CB8">
        <w:rPr>
          <w:color w:val="1A1718"/>
          <w:lang w:val="en-US"/>
        </w:rPr>
        <w:t xml:space="preserve">that </w:t>
      </w:r>
      <w:r w:rsidR="00670B65">
        <w:rPr>
          <w:color w:val="1A1718"/>
          <w:lang w:val="en-US"/>
        </w:rPr>
        <w:t>imparts a pH dependency on</w:t>
      </w:r>
      <w:r w:rsidR="009A2CB8">
        <w:rPr>
          <w:color w:val="1A1718"/>
          <w:lang w:val="en-US"/>
        </w:rPr>
        <w:t xml:space="preserve"> the </w:t>
      </w:r>
      <w:r w:rsidR="009A2CB8" w:rsidRPr="00771EBC">
        <w:rPr>
          <w:rFonts w:ascii="Times New Roman" w:hAnsi="Times New Roman"/>
          <w:color w:val="1A1718"/>
          <w:lang w:val="en-US"/>
        </w:rPr>
        <w:t>δ</w:t>
      </w:r>
      <w:r w:rsidR="009A2CB8" w:rsidRPr="00771EBC">
        <w:rPr>
          <w:color w:val="1A1718"/>
          <w:vertAlign w:val="superscript"/>
          <w:lang w:val="en-US"/>
        </w:rPr>
        <w:t>11</w:t>
      </w:r>
      <w:r w:rsidR="009A2CB8" w:rsidRPr="00771EBC">
        <w:rPr>
          <w:color w:val="1A1718"/>
          <w:lang w:val="en-US"/>
        </w:rPr>
        <w:t>B</w:t>
      </w:r>
      <w:r w:rsidR="009A2CB8">
        <w:rPr>
          <w:color w:val="1A1718"/>
          <w:lang w:val="en-US"/>
        </w:rPr>
        <w:t xml:space="preserve"> of</w:t>
      </w:r>
      <w:r w:rsidR="00670B65">
        <w:rPr>
          <w:color w:val="1A1718"/>
          <w:lang w:val="en-US"/>
        </w:rPr>
        <w:t xml:space="preserve"> all marine precipitates so far examined. </w:t>
      </w:r>
      <w:r w:rsidR="00961950">
        <w:rPr>
          <w:color w:val="1A1718"/>
          <w:lang w:val="en-US"/>
        </w:rPr>
        <w:t xml:space="preserve">Empirical reconstructions of </w:t>
      </w:r>
      <w:r w:rsidR="00961950" w:rsidRPr="00407259">
        <w:rPr>
          <w:rFonts w:ascii="Times New Roman" w:hAnsi="Times New Roman"/>
          <w:color w:val="1A1718"/>
          <w:lang w:val="en-US"/>
        </w:rPr>
        <w:t>δ</w:t>
      </w:r>
      <w:r w:rsidR="00961950" w:rsidRPr="00407259">
        <w:rPr>
          <w:color w:val="1A1718"/>
          <w:vertAlign w:val="superscript"/>
          <w:lang w:val="en-US"/>
        </w:rPr>
        <w:t>11</w:t>
      </w:r>
      <w:r w:rsidR="00961950" w:rsidRPr="00407259">
        <w:rPr>
          <w:color w:val="1A1718"/>
          <w:lang w:val="en-US"/>
        </w:rPr>
        <w:t>B</w:t>
      </w:r>
      <w:r w:rsidR="00961950" w:rsidRPr="00407259">
        <w:rPr>
          <w:color w:val="1A1718"/>
          <w:vertAlign w:val="subscript"/>
          <w:lang w:val="en-US"/>
        </w:rPr>
        <w:t>sw</w:t>
      </w:r>
      <w:r w:rsidR="00961950">
        <w:rPr>
          <w:color w:val="1A1718"/>
          <w:lang w:val="en-US"/>
        </w:rPr>
        <w:t xml:space="preserve"> must therefore use “indirect” approaches</w:t>
      </w:r>
      <w:r w:rsidR="0054458C">
        <w:rPr>
          <w:color w:val="1A1718"/>
          <w:lang w:val="en-US"/>
        </w:rPr>
        <w:t>. So far</w:t>
      </w:r>
      <w:r w:rsidR="009E6EB2">
        <w:rPr>
          <w:color w:val="1A1718"/>
          <w:lang w:val="en-US"/>
        </w:rPr>
        <w:t xml:space="preserve"> four approaches</w:t>
      </w:r>
      <w:r w:rsidR="0054458C">
        <w:rPr>
          <w:color w:val="1A1718"/>
          <w:lang w:val="en-US"/>
        </w:rPr>
        <w:t xml:space="preserve"> have been</w:t>
      </w:r>
      <w:r w:rsidR="00961950">
        <w:rPr>
          <w:color w:val="1A1718"/>
          <w:lang w:val="en-US"/>
        </w:rPr>
        <w:t xml:space="preserve"> applied </w:t>
      </w:r>
      <w:r w:rsidR="0054458C">
        <w:rPr>
          <w:color w:val="1A1718"/>
          <w:lang w:val="en-US"/>
        </w:rPr>
        <w:t>to the problem</w:t>
      </w:r>
      <w:r w:rsidR="009E6EB2">
        <w:rPr>
          <w:color w:val="1A1718"/>
          <w:lang w:val="en-US"/>
        </w:rPr>
        <w:t xml:space="preserve"> </w:t>
      </w:r>
      <w:r w:rsidR="00961950">
        <w:rPr>
          <w:color w:val="1A1718"/>
          <w:lang w:val="en-US"/>
        </w:rPr>
        <w:t>(Fig. 2)</w:t>
      </w:r>
      <w:r w:rsidR="009E6EB2">
        <w:rPr>
          <w:color w:val="1A1718"/>
          <w:lang w:val="en-US"/>
        </w:rPr>
        <w:t>:</w:t>
      </w:r>
      <w:r w:rsidR="00F41A68">
        <w:rPr>
          <w:color w:val="1A1718"/>
          <w:lang w:val="en-US"/>
        </w:rPr>
        <w:t xml:space="preserve"> </w:t>
      </w:r>
      <w:r w:rsidR="009E6EB2">
        <w:rPr>
          <w:color w:val="1A1718"/>
          <w:lang w:val="en-US"/>
        </w:rPr>
        <w:t>(1) geochemical modeling</w:t>
      </w:r>
      <w:r w:rsidR="0000021C">
        <w:rPr>
          <w:color w:val="1A1718"/>
          <w:lang w:val="en-US"/>
        </w:rPr>
        <w:t xml:space="preserve"> (Lemarchand et al., 2000)</w:t>
      </w:r>
      <w:r w:rsidR="009E6EB2">
        <w:rPr>
          <w:color w:val="1A1718"/>
          <w:lang w:val="en-US"/>
        </w:rPr>
        <w:t xml:space="preserve">, (2) </w:t>
      </w:r>
      <w:r w:rsidR="00950445">
        <w:rPr>
          <w:rFonts w:ascii="Times New Roman" w:hAnsi="Times New Roman"/>
        </w:rPr>
        <w:t>δ</w:t>
      </w:r>
      <w:r w:rsidR="00950445">
        <w:rPr>
          <w:vertAlign w:val="superscript"/>
        </w:rPr>
        <w:t>11</w:t>
      </w:r>
      <w:r w:rsidR="00950445">
        <w:t>B</w:t>
      </w:r>
      <w:r w:rsidR="009E6EB2">
        <w:rPr>
          <w:color w:val="1A1718"/>
          <w:lang w:val="en-US"/>
        </w:rPr>
        <w:t xml:space="preserve"> analysis of halites</w:t>
      </w:r>
      <w:r w:rsidR="0000021C">
        <w:rPr>
          <w:color w:val="1A1718"/>
          <w:lang w:val="en-US"/>
        </w:rPr>
        <w:t xml:space="preserve"> (Paris et al., 2010)</w:t>
      </w:r>
      <w:r w:rsidR="009E6EB2">
        <w:rPr>
          <w:color w:val="1A1718"/>
          <w:lang w:val="en-US"/>
        </w:rPr>
        <w:t xml:space="preserve">, (3) measurements of </w:t>
      </w:r>
      <w:r w:rsidR="00950445">
        <w:rPr>
          <w:color w:val="1A1718"/>
          <w:lang w:val="en-US"/>
        </w:rPr>
        <w:t xml:space="preserve">benthic </w:t>
      </w:r>
      <w:r w:rsidR="009E6EB2">
        <w:rPr>
          <w:color w:val="1A1718"/>
          <w:lang w:val="en-US"/>
        </w:rPr>
        <w:t xml:space="preserve">foraminiferal </w:t>
      </w:r>
      <w:r w:rsidR="00950445">
        <w:rPr>
          <w:rFonts w:ascii="Times New Roman" w:hAnsi="Times New Roman"/>
        </w:rPr>
        <w:t>δ</w:t>
      </w:r>
      <w:r w:rsidR="00950445">
        <w:rPr>
          <w:vertAlign w:val="superscript"/>
        </w:rPr>
        <w:t>11</w:t>
      </w:r>
      <w:r w:rsidR="00950445">
        <w:t>B</w:t>
      </w:r>
      <w:r w:rsidR="009E6EB2">
        <w:rPr>
          <w:color w:val="1A1718"/>
          <w:lang w:val="en-US"/>
        </w:rPr>
        <w:t xml:space="preserve"> coupled to various assumptions about past changes in ocean pH</w:t>
      </w:r>
      <w:r w:rsidR="0000021C">
        <w:rPr>
          <w:color w:val="1A1718"/>
          <w:lang w:val="en-US"/>
        </w:rPr>
        <w:t xml:space="preserve"> </w:t>
      </w:r>
      <w:r w:rsidR="0000021C">
        <w:t>(</w:t>
      </w:r>
      <w:r w:rsidR="0000021C" w:rsidRPr="00961950">
        <w:rPr>
          <w:rFonts w:ascii="Times New Roman" w:hAnsi="Times New Roman"/>
        </w:rPr>
        <w:t xml:space="preserve">Raitzsch and </w:t>
      </w:r>
      <w:r w:rsidR="0000021C">
        <w:rPr>
          <w:rFonts w:ascii="Times New Roman" w:hAnsi="Times New Roman"/>
        </w:rPr>
        <w:t>Hönisch,</w:t>
      </w:r>
      <w:r w:rsidR="0000021C" w:rsidRPr="00961950">
        <w:rPr>
          <w:rFonts w:ascii="Times New Roman" w:hAnsi="Times New Roman"/>
        </w:rPr>
        <w:t xml:space="preserve"> 2013</w:t>
      </w:r>
      <w:r w:rsidR="0000021C">
        <w:rPr>
          <w:rFonts w:ascii="Times New Roman" w:hAnsi="Times New Roman"/>
        </w:rPr>
        <w:t>)</w:t>
      </w:r>
      <w:r w:rsidR="009E6EB2">
        <w:rPr>
          <w:color w:val="1A1718"/>
          <w:lang w:val="en-US"/>
        </w:rPr>
        <w:t>, and (4)</w:t>
      </w:r>
      <w:r w:rsidR="009E6EB2" w:rsidRPr="004830F9">
        <w:rPr>
          <w:color w:val="1A1718"/>
          <w:lang w:val="en-US"/>
        </w:rPr>
        <w:t xml:space="preserve"> </w:t>
      </w:r>
      <w:r w:rsidR="009E6EB2">
        <w:rPr>
          <w:color w:val="1A1718"/>
          <w:lang w:val="en-US"/>
        </w:rPr>
        <w:t>measurements</w:t>
      </w:r>
      <w:r w:rsidR="00950445">
        <w:rPr>
          <w:color w:val="1A1718"/>
          <w:lang w:val="en-US"/>
        </w:rPr>
        <w:t xml:space="preserve"> of </w:t>
      </w:r>
      <w:r w:rsidR="00950445">
        <w:rPr>
          <w:rFonts w:ascii="Times New Roman" w:hAnsi="Times New Roman"/>
        </w:rPr>
        <w:t>δ</w:t>
      </w:r>
      <w:r w:rsidR="00950445">
        <w:rPr>
          <w:vertAlign w:val="superscript"/>
        </w:rPr>
        <w:t>11</w:t>
      </w:r>
      <w:r w:rsidR="00950445">
        <w:t>B in</w:t>
      </w:r>
      <w:r w:rsidR="00950445">
        <w:rPr>
          <w:color w:val="1A1718"/>
          <w:lang w:val="en-US"/>
        </w:rPr>
        <w:t xml:space="preserve"> surface and thermocline dwelling foraminifera</w:t>
      </w:r>
      <w:r w:rsidR="009E6EB2">
        <w:rPr>
          <w:color w:val="1A1718"/>
          <w:lang w:val="en-US"/>
        </w:rPr>
        <w:t xml:space="preserve"> coupled </w:t>
      </w:r>
      <w:r w:rsidR="00950445">
        <w:rPr>
          <w:color w:val="1A1718"/>
          <w:lang w:val="en-US"/>
        </w:rPr>
        <w:t xml:space="preserve">with </w:t>
      </w:r>
      <w:r w:rsidR="009E6EB2">
        <w:rPr>
          <w:color w:val="1A1718"/>
          <w:lang w:val="en-US"/>
        </w:rPr>
        <w:t xml:space="preserve">additional information on the pH </w:t>
      </w:r>
      <w:r w:rsidR="00950445">
        <w:rPr>
          <w:color w:val="1A1718"/>
          <w:lang w:val="en-US"/>
        </w:rPr>
        <w:t xml:space="preserve">gradient of the surface ocean </w:t>
      </w:r>
      <w:r w:rsidR="0000021C" w:rsidRPr="00562724">
        <w:rPr>
          <w:noProof/>
        </w:rPr>
        <w:t>(Palmer et al., 1998; Pearson and Palmer 1999, Pearson and Palmer 2000</w:t>
      </w:r>
      <w:r w:rsidR="00811286">
        <w:rPr>
          <w:noProof/>
        </w:rPr>
        <w:t>; Anagnostou et al., 2016</w:t>
      </w:r>
      <w:r w:rsidR="0000021C" w:rsidRPr="00562724">
        <w:rPr>
          <w:noProof/>
        </w:rPr>
        <w:t>)</w:t>
      </w:r>
      <w:r w:rsidR="009E6EB2">
        <w:rPr>
          <w:color w:val="1A1718"/>
          <w:lang w:val="en-US"/>
        </w:rPr>
        <w:t xml:space="preserve">. </w:t>
      </w:r>
    </w:p>
    <w:p w14:paraId="05029E76" w14:textId="77777777" w:rsidR="00EC2D26" w:rsidRDefault="005908AC" w:rsidP="00CE1586">
      <w:pPr>
        <w:widowControl w:val="0"/>
        <w:autoSpaceDE w:val="0"/>
        <w:autoSpaceDN w:val="0"/>
        <w:adjustRightInd w:val="0"/>
        <w:spacing w:after="240"/>
        <w:rPr>
          <w:rFonts w:ascii="Times New Roman" w:eastAsiaTheme="minorEastAsia" w:hAnsi="Times New Roman"/>
          <w:lang w:val="en-US" w:eastAsia="ja-JP"/>
        </w:rPr>
      </w:pPr>
      <w:r>
        <w:rPr>
          <w:color w:val="1A1718"/>
          <w:lang w:val="en-US"/>
        </w:rPr>
        <w:t>G</w:t>
      </w:r>
      <w:r w:rsidR="00961950">
        <w:rPr>
          <w:color w:val="1A1718"/>
          <w:lang w:val="en-US"/>
        </w:rPr>
        <w:t>eochemical</w:t>
      </w:r>
      <w:r w:rsidR="00961950" w:rsidRPr="00E42684">
        <w:t xml:space="preserve"> mode</w:t>
      </w:r>
      <w:r w:rsidR="00961950">
        <w:t>l</w:t>
      </w:r>
      <w:r w:rsidR="00961950" w:rsidRPr="00E42684">
        <w:t>ling of the</w:t>
      </w:r>
      <w:r w:rsidR="00961950">
        <w:t xml:space="preserve"> changes in the flux of </w:t>
      </w:r>
      <w:r w:rsidR="00961950" w:rsidRPr="00E42684">
        <w:t>boron in</w:t>
      </w:r>
      <w:r w:rsidR="00A55BDF">
        <w:t>to</w:t>
      </w:r>
      <w:r w:rsidR="00961950">
        <w:t xml:space="preserve"> and out of</w:t>
      </w:r>
      <w:r w:rsidR="00961950" w:rsidRPr="00E42684">
        <w:t xml:space="preserve"> the ocean</w:t>
      </w:r>
      <w:r w:rsidR="00961950">
        <w:t xml:space="preserve"> through time has been used to</w:t>
      </w:r>
      <w:r w:rsidR="00961950" w:rsidRPr="000811A3">
        <w:t xml:space="preserve"> suggest that </w:t>
      </w:r>
      <w:r w:rsidR="00961950" w:rsidRPr="000811A3">
        <w:sym w:font="Symbol" w:char="F064"/>
      </w:r>
      <w:r w:rsidR="00961950" w:rsidRPr="000811A3">
        <w:rPr>
          <w:vertAlign w:val="superscript"/>
        </w:rPr>
        <w:t>11</w:t>
      </w:r>
      <w:r w:rsidR="00961950" w:rsidRPr="000811A3">
        <w:t>B</w:t>
      </w:r>
      <w:r w:rsidR="00961950" w:rsidRPr="000811A3">
        <w:rPr>
          <w:vertAlign w:val="subscript"/>
        </w:rPr>
        <w:t>sw</w:t>
      </w:r>
      <w:r w:rsidR="00961950" w:rsidRPr="000811A3">
        <w:t xml:space="preserve"> increased from 37‰</w:t>
      </w:r>
      <w:r w:rsidR="00961950">
        <w:t xml:space="preserve"> at 60 Ma</w:t>
      </w:r>
      <w:r w:rsidR="00961950" w:rsidRPr="000811A3">
        <w:t xml:space="preserve"> to 40‰ </w:t>
      </w:r>
      <w:r w:rsidR="00670B65">
        <w:rPr>
          <w:rFonts w:cs="Times"/>
        </w:rPr>
        <w:t>±</w:t>
      </w:r>
      <w:r w:rsidR="00961950">
        <w:t xml:space="preserve"> 1‰ </w:t>
      </w:r>
      <w:r w:rsidR="003637BE">
        <w:t>today</w:t>
      </w:r>
      <w:r w:rsidR="00950445">
        <w:rPr>
          <w:noProof/>
        </w:rPr>
        <w:t>, driven by a combination of processes including</w:t>
      </w:r>
      <w:r w:rsidR="0000021C">
        <w:rPr>
          <w:noProof/>
        </w:rPr>
        <w:t xml:space="preserve"> changing</w:t>
      </w:r>
      <w:r w:rsidR="00950445">
        <w:rPr>
          <w:noProof/>
        </w:rPr>
        <w:t xml:space="preserve"> boron continental discharge</w:t>
      </w:r>
      <w:r w:rsidR="00961950">
        <w:t xml:space="preserve"> </w:t>
      </w:r>
      <w:r w:rsidR="00747895">
        <w:rPr>
          <w:noProof/>
        </w:rPr>
        <w:t>(Lemarchand et al., 200</w:t>
      </w:r>
      <w:r w:rsidR="00102A50">
        <w:rPr>
          <w:noProof/>
        </w:rPr>
        <w:t>0</w:t>
      </w:r>
      <w:r w:rsidR="00961950">
        <w:rPr>
          <w:noProof/>
        </w:rPr>
        <w:t>)</w:t>
      </w:r>
      <w:r w:rsidR="00961950">
        <w:t xml:space="preserve">. </w:t>
      </w:r>
      <w:r>
        <w:t>In the case of approach 2</w:t>
      </w:r>
      <w:r w:rsidR="00950445">
        <w:t>,</w:t>
      </w:r>
      <w:r>
        <w:t xml:space="preserve"> while</w:t>
      </w:r>
      <w:r w:rsidR="00950445">
        <w:t xml:space="preserve"> </w:t>
      </w:r>
      <w:r w:rsidR="00485E9C">
        <w:t>modern</w:t>
      </w:r>
      <w:r w:rsidR="00D65079">
        <w:t xml:space="preserve"> natural</w:t>
      </w:r>
      <w:r w:rsidR="00485E9C">
        <w:t xml:space="preserve"> halites reflect </w:t>
      </w:r>
      <w:r w:rsidR="00485E9C">
        <w:rPr>
          <w:rFonts w:ascii="Times New Roman" w:hAnsi="Times New Roman"/>
        </w:rPr>
        <w:t>δ</w:t>
      </w:r>
      <w:r w:rsidR="00485E9C">
        <w:rPr>
          <w:vertAlign w:val="superscript"/>
        </w:rPr>
        <w:t>11</w:t>
      </w:r>
      <w:r w:rsidR="00485E9C">
        <w:t>B</w:t>
      </w:r>
      <w:r w:rsidR="00485E9C">
        <w:rPr>
          <w:vertAlign w:val="subscript"/>
        </w:rPr>
        <w:t>sw</w:t>
      </w:r>
      <w:r w:rsidR="00485E9C">
        <w:t xml:space="preserve"> (39.7 </w:t>
      </w:r>
      <w:r w:rsidR="00485E9C" w:rsidRPr="00E42684">
        <w:t>‰</w:t>
      </w:r>
      <w:r w:rsidR="00485E9C">
        <w:t>) with no apparent fracti</w:t>
      </w:r>
      <w:r w:rsidR="00950445">
        <w:t>onation</w:t>
      </w:r>
      <w:r>
        <w:t>,</w:t>
      </w:r>
      <w:r w:rsidR="00950445">
        <w:t xml:space="preserve"> </w:t>
      </w:r>
      <w:r>
        <w:t>m</w:t>
      </w:r>
      <w:r w:rsidR="00950445">
        <w:t xml:space="preserve">easurement of </w:t>
      </w:r>
      <w:r w:rsidR="00950445">
        <w:rPr>
          <w:rFonts w:ascii="Times New Roman" w:hAnsi="Times New Roman"/>
        </w:rPr>
        <w:t>δ</w:t>
      </w:r>
      <w:r w:rsidR="00950445">
        <w:rPr>
          <w:vertAlign w:val="superscript"/>
        </w:rPr>
        <w:t>11</w:t>
      </w:r>
      <w:r w:rsidR="00950445">
        <w:t xml:space="preserve">B </w:t>
      </w:r>
      <w:r>
        <w:t>in</w:t>
      </w:r>
      <w:r w:rsidR="00950445">
        <w:t xml:space="preserve"> ancient halites</w:t>
      </w:r>
      <w:r>
        <w:t xml:space="preserve"> yield</w:t>
      </w:r>
      <w:r w:rsidR="00950445">
        <w:t xml:space="preserve"> </w:t>
      </w:r>
      <w:r>
        <w:t xml:space="preserve">isotopic ratios that are </w:t>
      </w:r>
      <w:r w:rsidR="00950445">
        <w:t xml:space="preserve">significantly lower than all other approaches (Fig. 2; </w:t>
      </w:r>
      <w:r w:rsidR="00950445">
        <w:rPr>
          <w:noProof/>
        </w:rPr>
        <w:t>Paris et al., 2010)</w:t>
      </w:r>
      <w:r w:rsidR="00950445">
        <w:t>, with implausible variability among samples of the same age (7</w:t>
      </w:r>
      <w:r w:rsidR="00950445" w:rsidRPr="00E42684">
        <w:t>‰</w:t>
      </w:r>
      <w:r w:rsidR="00950445">
        <w:t xml:space="preserve"> range), thereby </w:t>
      </w:r>
      <w:r>
        <w:t>casting</w:t>
      </w:r>
      <w:r w:rsidR="00950445">
        <w:t xml:space="preserve"> doubt</w:t>
      </w:r>
      <w:r>
        <w:t xml:space="preserve"> over</w:t>
      </w:r>
      <w:r w:rsidR="00950445">
        <w:t xml:space="preserve"> the reliability of this approach</w:t>
      </w:r>
      <w:r w:rsidR="00485E9C">
        <w:t xml:space="preserve"> </w:t>
      </w:r>
      <w:r w:rsidR="00950445">
        <w:t>(</w:t>
      </w:r>
      <w:r w:rsidR="00950445" w:rsidRPr="00961950">
        <w:rPr>
          <w:rFonts w:ascii="Times New Roman" w:hAnsi="Times New Roman"/>
        </w:rPr>
        <w:t xml:space="preserve">Raitzsch and </w:t>
      </w:r>
      <w:r w:rsidR="00950445">
        <w:rPr>
          <w:rFonts w:ascii="Times New Roman" w:hAnsi="Times New Roman"/>
        </w:rPr>
        <w:t>Hönisch,</w:t>
      </w:r>
      <w:r w:rsidR="00950445" w:rsidRPr="00961950">
        <w:rPr>
          <w:rFonts w:ascii="Times New Roman" w:hAnsi="Times New Roman"/>
        </w:rPr>
        <w:t xml:space="preserve"> 2013</w:t>
      </w:r>
      <w:r w:rsidR="00950445">
        <w:rPr>
          <w:rFonts w:ascii="Times New Roman" w:hAnsi="Times New Roman"/>
        </w:rPr>
        <w:t>)</w:t>
      </w:r>
      <w:r w:rsidR="003637BE" w:rsidRPr="00E42684">
        <w:t xml:space="preserve">. </w:t>
      </w:r>
      <w:r>
        <w:t xml:space="preserve">In the case of approach 3, </w:t>
      </w:r>
      <w:r w:rsidR="00950445" w:rsidRPr="003438EC">
        <w:rPr>
          <w:rFonts w:ascii="Times New Roman" w:hAnsi="Times New Roman"/>
          <w:color w:val="1A1718"/>
          <w:lang w:val="en-US"/>
        </w:rPr>
        <w:t>δ</w:t>
      </w:r>
      <w:r w:rsidR="00950445" w:rsidRPr="003438EC">
        <w:rPr>
          <w:rFonts w:ascii="Times New Roman" w:hAnsi="Times New Roman"/>
          <w:color w:val="1A1718"/>
          <w:vertAlign w:val="superscript"/>
          <w:lang w:val="en-US"/>
        </w:rPr>
        <w:t>11</w:t>
      </w:r>
      <w:r w:rsidR="00950445" w:rsidRPr="003438EC">
        <w:rPr>
          <w:rFonts w:ascii="Times New Roman" w:hAnsi="Times New Roman"/>
          <w:color w:val="1A1718"/>
          <w:lang w:val="en-US"/>
        </w:rPr>
        <w:t>B</w:t>
      </w:r>
      <w:r w:rsidR="00950445" w:rsidRPr="003438EC">
        <w:rPr>
          <w:rFonts w:ascii="Times New Roman" w:hAnsi="Times New Roman"/>
          <w:color w:val="1A1718"/>
          <w:vertAlign w:val="subscript"/>
          <w:lang w:val="en-US"/>
        </w:rPr>
        <w:t>sw</w:t>
      </w:r>
      <w:r w:rsidR="00950445" w:rsidRPr="003438EC">
        <w:rPr>
          <w:rFonts w:ascii="Times New Roman" w:hAnsi="Times New Roman"/>
          <w:color w:val="1A1718"/>
          <w:lang w:val="en-US"/>
        </w:rPr>
        <w:t xml:space="preserve"> </w:t>
      </w:r>
      <w:r>
        <w:rPr>
          <w:rFonts w:ascii="Times New Roman" w:hAnsi="Times New Roman"/>
          <w:color w:val="1A1718"/>
          <w:lang w:val="en-US"/>
        </w:rPr>
        <w:t>is</w:t>
      </w:r>
      <w:r w:rsidR="00950445">
        <w:rPr>
          <w:rFonts w:ascii="Times New Roman" w:hAnsi="Times New Roman"/>
          <w:color w:val="1A1718"/>
          <w:lang w:val="en-US"/>
        </w:rPr>
        <w:t xml:space="preserve"> calculated from</w:t>
      </w:r>
      <w:r w:rsidR="00950445" w:rsidRPr="003438EC">
        <w:rPr>
          <w:rFonts w:ascii="Times New Roman" w:hAnsi="Times New Roman"/>
          <w:color w:val="1A1718"/>
          <w:lang w:val="en-US"/>
        </w:rPr>
        <w:t xml:space="preserve"> </w:t>
      </w:r>
      <w:r w:rsidR="00950445">
        <w:rPr>
          <w:rFonts w:ascii="Times New Roman" w:hAnsi="Times New Roman"/>
          <w:color w:val="1A1718"/>
          <w:lang w:val="en-US"/>
        </w:rPr>
        <w:t xml:space="preserve">globally distributed </w:t>
      </w:r>
      <w:r w:rsidR="00950445" w:rsidRPr="003438EC">
        <w:rPr>
          <w:rFonts w:ascii="Times New Roman" w:hAnsi="Times New Roman"/>
          <w:color w:val="1A1718"/>
          <w:lang w:val="en-US"/>
        </w:rPr>
        <w:t>benthic δ</w:t>
      </w:r>
      <w:r w:rsidR="00950445" w:rsidRPr="003438EC">
        <w:rPr>
          <w:rFonts w:ascii="Times New Roman" w:hAnsi="Times New Roman"/>
          <w:color w:val="1A1718"/>
          <w:vertAlign w:val="superscript"/>
          <w:lang w:val="en-US"/>
        </w:rPr>
        <w:t>11</w:t>
      </w:r>
      <w:r w:rsidR="00950445" w:rsidRPr="003438EC">
        <w:rPr>
          <w:rFonts w:ascii="Times New Roman" w:hAnsi="Times New Roman"/>
          <w:color w:val="1A1718"/>
          <w:lang w:val="en-US"/>
        </w:rPr>
        <w:t xml:space="preserve">B </w:t>
      </w:r>
      <w:r w:rsidR="00950445">
        <w:rPr>
          <w:rFonts w:ascii="Times New Roman" w:hAnsi="Times New Roman"/>
          <w:color w:val="1A1718"/>
          <w:lang w:val="en-US"/>
        </w:rPr>
        <w:t>data</w:t>
      </w:r>
      <w:r w:rsidR="00F23D4B">
        <w:rPr>
          <w:rFonts w:ascii="Times New Roman" w:hAnsi="Times New Roman"/>
          <w:color w:val="1A1718"/>
          <w:lang w:val="en-US"/>
        </w:rPr>
        <w:t xml:space="preserve"> with an </w:t>
      </w:r>
      <w:r w:rsidR="00E72588">
        <w:rPr>
          <w:rFonts w:ascii="Times New Roman" w:hAnsi="Times New Roman"/>
          <w:color w:val="1A1718"/>
          <w:lang w:val="en-US"/>
        </w:rPr>
        <w:t>imposed degree of</w:t>
      </w:r>
      <w:r w:rsidR="00F23D4B">
        <w:rPr>
          <w:rFonts w:ascii="Times New Roman" w:hAnsi="Times New Roman"/>
          <w:color w:val="1A1718"/>
          <w:lang w:val="en-US"/>
        </w:rPr>
        <w:t xml:space="preserve"> </w:t>
      </w:r>
      <w:r w:rsidR="00F23D4B" w:rsidRPr="003438EC">
        <w:rPr>
          <w:rFonts w:ascii="Times New Roman" w:hAnsi="Times New Roman"/>
          <w:color w:val="1A1718"/>
          <w:lang w:val="en-US"/>
        </w:rPr>
        <w:t>deep-ocean pH</w:t>
      </w:r>
      <w:r w:rsidR="00F23D4B">
        <w:rPr>
          <w:rFonts w:ascii="Times New Roman" w:hAnsi="Times New Roman"/>
          <w:color w:val="1A1718"/>
          <w:lang w:val="en-US"/>
        </w:rPr>
        <w:t xml:space="preserve"> change</w:t>
      </w:r>
      <w:r w:rsidR="00950445" w:rsidRPr="003438EC">
        <w:rPr>
          <w:rFonts w:ascii="Times New Roman" w:hAnsi="Times New Roman"/>
          <w:color w:val="1A1718"/>
          <w:lang w:val="en-US"/>
        </w:rPr>
        <w:t xml:space="preserve"> </w:t>
      </w:r>
      <w:r w:rsidR="0026598C" w:rsidRPr="003438EC">
        <w:rPr>
          <w:rFonts w:ascii="Times New Roman" w:hAnsi="Times New Roman"/>
          <w:color w:val="1A1718"/>
          <w:lang w:val="en-US"/>
        </w:rPr>
        <w:t>(Fig. 2</w:t>
      </w:r>
      <w:r w:rsidR="00DA2F3F">
        <w:rPr>
          <w:rFonts w:ascii="Times New Roman" w:hAnsi="Times New Roman"/>
          <w:color w:val="1A1718"/>
          <w:lang w:val="en-US"/>
        </w:rPr>
        <w:t xml:space="preserve">; </w:t>
      </w:r>
      <w:r w:rsidR="00DA2F3F" w:rsidRPr="00961950">
        <w:rPr>
          <w:rFonts w:ascii="Times New Roman" w:hAnsi="Times New Roman"/>
        </w:rPr>
        <w:t xml:space="preserve">Raitzsch and </w:t>
      </w:r>
      <w:r w:rsidR="00DA2F3F">
        <w:rPr>
          <w:rFonts w:ascii="Times New Roman" w:hAnsi="Times New Roman"/>
        </w:rPr>
        <w:t>Hönisch,</w:t>
      </w:r>
      <w:r w:rsidR="00DA2F3F" w:rsidRPr="00961950">
        <w:rPr>
          <w:rFonts w:ascii="Times New Roman" w:hAnsi="Times New Roman"/>
        </w:rPr>
        <w:t xml:space="preserve"> 2013</w:t>
      </w:r>
      <w:r w:rsidR="0026598C" w:rsidRPr="003438EC">
        <w:rPr>
          <w:rFonts w:ascii="Times New Roman" w:hAnsi="Times New Roman"/>
          <w:color w:val="1A1718"/>
          <w:lang w:val="en-US"/>
        </w:rPr>
        <w:t xml:space="preserve">). </w:t>
      </w:r>
      <w:r w:rsidR="00A83ED5" w:rsidRPr="003438EC">
        <w:rPr>
          <w:rFonts w:ascii="Times New Roman" w:hAnsi="Times New Roman"/>
          <w:color w:val="1A1718"/>
          <w:lang w:val="en-US"/>
        </w:rPr>
        <w:t>T</w:t>
      </w:r>
      <w:r w:rsidR="0026598C" w:rsidRPr="003438EC">
        <w:rPr>
          <w:rFonts w:ascii="Times New Roman" w:hAnsi="Times New Roman"/>
          <w:color w:val="1A1718"/>
          <w:lang w:val="en-US"/>
        </w:rPr>
        <w:t xml:space="preserve">his method </w:t>
      </w:r>
      <w:r w:rsidR="00E72588">
        <w:rPr>
          <w:rFonts w:ascii="Times New Roman" w:hAnsi="Times New Roman"/>
          <w:color w:val="1A1718"/>
          <w:lang w:val="en-US"/>
        </w:rPr>
        <w:t>hinges on two key assumptions:</w:t>
      </w:r>
      <w:r w:rsidR="00E72588" w:rsidRPr="003438EC">
        <w:rPr>
          <w:rFonts w:ascii="Times New Roman" w:hAnsi="Times New Roman"/>
          <w:color w:val="1A1718"/>
          <w:lang w:val="en-US"/>
        </w:rPr>
        <w:t xml:space="preserve"> </w:t>
      </w:r>
      <w:r w:rsidR="003438EC" w:rsidRPr="003438EC">
        <w:rPr>
          <w:rFonts w:ascii="Times New Roman" w:hAnsi="Times New Roman"/>
          <w:color w:val="1A1718"/>
          <w:lang w:val="en-US"/>
        </w:rPr>
        <w:t>(</w:t>
      </w:r>
      <w:r w:rsidR="00F23D4B">
        <w:rPr>
          <w:rFonts w:ascii="Times New Roman" w:hAnsi="Times New Roman"/>
          <w:color w:val="1A1718"/>
          <w:lang w:val="en-US"/>
        </w:rPr>
        <w:t>a</w:t>
      </w:r>
      <w:r w:rsidR="003438EC" w:rsidRPr="003438EC">
        <w:rPr>
          <w:rFonts w:ascii="Times New Roman" w:hAnsi="Times New Roman"/>
          <w:color w:val="1A1718"/>
          <w:lang w:val="en-US"/>
        </w:rPr>
        <w:t xml:space="preserve">) a near linear surface water pH increase of 0.39 over the past 50 </w:t>
      </w:r>
      <w:r w:rsidR="00CF399D">
        <w:rPr>
          <w:rFonts w:ascii="Times New Roman" w:hAnsi="Times New Roman"/>
          <w:color w:val="1A1718"/>
          <w:lang w:val="en-US"/>
        </w:rPr>
        <w:t>M</w:t>
      </w:r>
      <w:r w:rsidR="003438EC" w:rsidRPr="003438EC">
        <w:rPr>
          <w:rFonts w:ascii="Times New Roman" w:hAnsi="Times New Roman"/>
          <w:color w:val="1A1718"/>
          <w:lang w:val="en-US"/>
        </w:rPr>
        <w:t>yrs</w:t>
      </w:r>
      <w:r w:rsidR="00E72588">
        <w:rPr>
          <w:rFonts w:ascii="Times New Roman" w:hAnsi="Times New Roman"/>
          <w:color w:val="1A1718"/>
          <w:lang w:val="en-US"/>
        </w:rPr>
        <w:t xml:space="preserve"> taken from the </w:t>
      </w:r>
      <w:r w:rsidR="00310747">
        <w:rPr>
          <w:rFonts w:ascii="Times New Roman" w:hAnsi="Times New Roman"/>
          <w:color w:val="1A1718"/>
          <w:lang w:val="en-US"/>
        </w:rPr>
        <w:t xml:space="preserve">average </w:t>
      </w:r>
      <w:r w:rsidR="00E72588">
        <w:rPr>
          <w:rFonts w:ascii="Times New Roman" w:hAnsi="Times New Roman"/>
          <w:color w:val="1A1718"/>
          <w:lang w:val="en-US"/>
        </w:rPr>
        <w:t xml:space="preserve">pH output from </w:t>
      </w:r>
      <w:r w:rsidR="00CD4B3D">
        <w:rPr>
          <w:rFonts w:ascii="Times New Roman" w:hAnsi="Times New Roman"/>
          <w:color w:val="1A1718"/>
          <w:lang w:val="en-US"/>
        </w:rPr>
        <w:t xml:space="preserve">a number of </w:t>
      </w:r>
      <w:r w:rsidR="00E72588">
        <w:rPr>
          <w:rFonts w:ascii="Times New Roman" w:hAnsi="Times New Roman"/>
          <w:color w:val="1A1718"/>
          <w:lang w:val="en-US"/>
        </w:rPr>
        <w:t>modeling studies</w:t>
      </w:r>
      <w:r w:rsidR="003438EC" w:rsidRPr="003438EC">
        <w:rPr>
          <w:rFonts w:ascii="Times New Roman" w:eastAsiaTheme="minorEastAsia" w:hAnsi="Times New Roman"/>
          <w:lang w:val="en-US" w:eastAsia="ja-JP"/>
        </w:rPr>
        <w:t xml:space="preserve"> (</w:t>
      </w:r>
      <w:r w:rsidR="003438EC" w:rsidRPr="003438EC">
        <w:rPr>
          <w:rFonts w:ascii="Times New Roman" w:hAnsi="Times New Roman"/>
          <w:bCs/>
          <w:noProof/>
          <w:lang w:val="en-US"/>
        </w:rPr>
        <w:t xml:space="preserve">Berner and Kothavala, 2001; </w:t>
      </w:r>
      <w:r w:rsidR="003438EC" w:rsidRPr="003438EC">
        <w:rPr>
          <w:rFonts w:ascii="Times New Roman" w:hAnsi="Times New Roman"/>
          <w:noProof/>
          <w:color w:val="1A1718"/>
          <w:lang w:val="en-US"/>
        </w:rPr>
        <w:t>Tyrrell and Zeebe, 2004;</w:t>
      </w:r>
      <w:r w:rsidR="003438EC" w:rsidRPr="003438EC">
        <w:rPr>
          <w:rFonts w:ascii="Times New Roman" w:hAnsi="Times New Roman"/>
          <w:bCs/>
          <w:noProof/>
          <w:lang w:val="en-US"/>
        </w:rPr>
        <w:t xml:space="preserve"> </w:t>
      </w:r>
      <w:r w:rsidR="003438EC" w:rsidRPr="003438EC">
        <w:rPr>
          <w:rFonts w:ascii="Times New Roman" w:hAnsi="Times New Roman"/>
          <w:noProof/>
          <w:color w:val="1A1718"/>
          <w:lang w:val="en-US"/>
        </w:rPr>
        <w:t>Ridgwell, 2005</w:t>
      </w:r>
      <w:r w:rsidR="003438EC" w:rsidRPr="003438EC">
        <w:rPr>
          <w:rFonts w:ascii="Times New Roman" w:hAnsi="Times New Roman"/>
          <w:bCs/>
          <w:noProof/>
          <w:lang w:val="en-US"/>
        </w:rPr>
        <w:t>), and (</w:t>
      </w:r>
      <w:r w:rsidR="00F23D4B">
        <w:rPr>
          <w:rFonts w:ascii="Times New Roman" w:hAnsi="Times New Roman"/>
          <w:bCs/>
          <w:noProof/>
          <w:lang w:val="en-US"/>
        </w:rPr>
        <w:t>b</w:t>
      </w:r>
      <w:r w:rsidR="003438EC" w:rsidRPr="003438EC">
        <w:rPr>
          <w:rFonts w:ascii="Times New Roman" w:hAnsi="Times New Roman"/>
          <w:bCs/>
          <w:noProof/>
          <w:lang w:val="en-US"/>
        </w:rPr>
        <w:t xml:space="preserve">) </w:t>
      </w:r>
      <w:r w:rsidR="003438EC" w:rsidRPr="003438EC">
        <w:rPr>
          <w:rFonts w:ascii="Times New Roman" w:eastAsiaTheme="minorEastAsia" w:hAnsi="Times New Roman"/>
          <w:lang w:val="en-US" w:eastAsia="ja-JP"/>
        </w:rPr>
        <w:t>a</w:t>
      </w:r>
      <w:r w:rsidR="00E72588">
        <w:rPr>
          <w:rFonts w:ascii="Times New Roman" w:eastAsiaTheme="minorEastAsia" w:hAnsi="Times New Roman"/>
          <w:lang w:val="en-US" w:eastAsia="ja-JP"/>
        </w:rPr>
        <w:t xml:space="preserve"> prescribed</w:t>
      </w:r>
      <w:r w:rsidR="003438EC" w:rsidRPr="003438EC">
        <w:rPr>
          <w:rFonts w:ascii="Times New Roman" w:eastAsiaTheme="minorEastAsia" w:hAnsi="Times New Roman"/>
          <w:lang w:val="en-US" w:eastAsia="ja-JP"/>
        </w:rPr>
        <w:t xml:space="preserve"> constant surface</w:t>
      </w:r>
      <w:r w:rsidR="00E72588">
        <w:rPr>
          <w:rFonts w:ascii="Times New Roman" w:eastAsiaTheme="minorEastAsia" w:hAnsi="Times New Roman"/>
          <w:lang w:val="en-US" w:eastAsia="ja-JP"/>
        </w:rPr>
        <w:t>-</w:t>
      </w:r>
      <w:r w:rsidR="003438EC" w:rsidRPr="003438EC">
        <w:rPr>
          <w:rFonts w:ascii="Times New Roman" w:eastAsiaTheme="minorEastAsia" w:hAnsi="Times New Roman"/>
          <w:lang w:val="en-US" w:eastAsia="ja-JP"/>
        </w:rPr>
        <w:t>to</w:t>
      </w:r>
      <w:r w:rsidR="00E72588">
        <w:rPr>
          <w:rFonts w:ascii="Times New Roman" w:eastAsiaTheme="minorEastAsia" w:hAnsi="Times New Roman"/>
          <w:lang w:val="en-US" w:eastAsia="ja-JP"/>
        </w:rPr>
        <w:t>-</w:t>
      </w:r>
      <w:r w:rsidR="003438EC" w:rsidRPr="003438EC">
        <w:rPr>
          <w:rFonts w:ascii="Times New Roman" w:eastAsiaTheme="minorEastAsia" w:hAnsi="Times New Roman"/>
          <w:lang w:val="en-US" w:eastAsia="ja-JP"/>
        </w:rPr>
        <w:t>deep ocean pH gradient of 0.3 (</w:t>
      </w:r>
      <w:r w:rsidR="003438EC" w:rsidRPr="003438EC">
        <w:rPr>
          <w:rFonts w:ascii="Times New Roman" w:hAnsi="Times New Roman"/>
          <w:noProof/>
          <w:color w:val="1A1718"/>
          <w:lang w:val="en-US"/>
        </w:rPr>
        <w:t>Tyrrell and Zeebe, 2004, and modern observations).</w:t>
      </w:r>
      <w:r w:rsidR="003438EC" w:rsidRPr="003438EC">
        <w:rPr>
          <w:rFonts w:ascii="Times New Roman" w:hAnsi="Times New Roman"/>
        </w:rPr>
        <w:t xml:space="preserve"> T</w:t>
      </w:r>
      <w:r w:rsidR="003438EC">
        <w:rPr>
          <w:rFonts w:ascii="Times New Roman" w:eastAsiaTheme="minorEastAsia" w:hAnsi="Times New Roman"/>
          <w:lang w:val="en-US" w:eastAsia="ja-JP"/>
        </w:rPr>
        <w:t>he mode</w:t>
      </w:r>
      <w:r w:rsidR="003438EC" w:rsidRPr="003438EC">
        <w:rPr>
          <w:rFonts w:ascii="Times New Roman" w:eastAsiaTheme="minorEastAsia" w:hAnsi="Times New Roman"/>
          <w:lang w:val="en-US" w:eastAsia="ja-JP"/>
        </w:rPr>
        <w:t xml:space="preserve">led surface pH </w:t>
      </w:r>
      <w:r w:rsidR="003438EC">
        <w:rPr>
          <w:rFonts w:ascii="Times New Roman" w:eastAsiaTheme="minorEastAsia" w:hAnsi="Times New Roman"/>
          <w:lang w:val="en-US" w:eastAsia="ja-JP"/>
        </w:rPr>
        <w:t xml:space="preserve">and </w:t>
      </w:r>
      <w:r w:rsidR="003438EC" w:rsidRPr="003438EC">
        <w:rPr>
          <w:rFonts w:ascii="Times New Roman" w:eastAsiaTheme="minorEastAsia" w:hAnsi="Times New Roman"/>
          <w:lang w:val="en-US" w:eastAsia="ja-JP"/>
        </w:rPr>
        <w:t>estimate</w:t>
      </w:r>
      <w:r w:rsidR="003637BE">
        <w:rPr>
          <w:rFonts w:ascii="Times New Roman" w:eastAsiaTheme="minorEastAsia" w:hAnsi="Times New Roman"/>
          <w:lang w:val="en-US" w:eastAsia="ja-JP"/>
        </w:rPr>
        <w:t>d</w:t>
      </w:r>
      <w:r w:rsidR="003438EC" w:rsidRPr="003438EC">
        <w:rPr>
          <w:rFonts w:ascii="Times New Roman" w:eastAsiaTheme="minorEastAsia" w:hAnsi="Times New Roman"/>
          <w:lang w:val="en-US" w:eastAsia="ja-JP"/>
        </w:rPr>
        <w:t xml:space="preserve"> fixed pH gradient is then used to estimate deep ocean pH, </w:t>
      </w:r>
      <w:r w:rsidR="00F23D4B">
        <w:rPr>
          <w:rFonts w:ascii="Times New Roman" w:eastAsiaTheme="minorEastAsia" w:hAnsi="Times New Roman"/>
          <w:lang w:val="en-US" w:eastAsia="ja-JP"/>
        </w:rPr>
        <w:t xml:space="preserve">and then convert </w:t>
      </w:r>
      <w:r w:rsidR="003438EC" w:rsidRPr="003438EC">
        <w:rPr>
          <w:rFonts w:ascii="Times New Roman" w:eastAsiaTheme="minorEastAsia" w:hAnsi="Times New Roman"/>
          <w:lang w:val="en-US" w:eastAsia="ja-JP"/>
        </w:rPr>
        <w:t xml:space="preserve">benthic foraminiferal </w:t>
      </w:r>
      <w:r w:rsidR="003438EC" w:rsidRPr="003438EC">
        <w:rPr>
          <w:rFonts w:ascii="Times New Roman" w:eastAsiaTheme="minorEastAsia" w:hAnsi="Times New Roman"/>
          <w:color w:val="000000"/>
          <w:szCs w:val="18"/>
          <w:lang w:val="en-US" w:eastAsia="ja-JP"/>
        </w:rPr>
        <w:t>δ</w:t>
      </w:r>
      <w:r w:rsidR="003438EC" w:rsidRPr="003438EC">
        <w:rPr>
          <w:rFonts w:ascii="Times New Roman" w:eastAsiaTheme="minorEastAsia" w:hAnsi="Times New Roman"/>
          <w:color w:val="000000"/>
          <w:szCs w:val="12"/>
          <w:vertAlign w:val="superscript"/>
          <w:lang w:val="en-US" w:eastAsia="ja-JP"/>
        </w:rPr>
        <w:t>11</w:t>
      </w:r>
      <w:r w:rsidR="003438EC" w:rsidRPr="003438EC">
        <w:rPr>
          <w:rFonts w:ascii="Times New Roman" w:eastAsiaTheme="minorEastAsia" w:hAnsi="Times New Roman"/>
          <w:color w:val="000000"/>
          <w:szCs w:val="18"/>
          <w:lang w:val="en-US" w:eastAsia="ja-JP"/>
        </w:rPr>
        <w:t>B</w:t>
      </w:r>
      <w:r w:rsidR="003438EC" w:rsidRPr="003438EC">
        <w:rPr>
          <w:rFonts w:ascii="Times New Roman" w:eastAsiaTheme="minorEastAsia" w:hAnsi="Times New Roman"/>
          <w:lang w:val="en-US" w:eastAsia="ja-JP"/>
        </w:rPr>
        <w:t xml:space="preserve"> measurements</w:t>
      </w:r>
      <w:r w:rsidR="00F23D4B">
        <w:rPr>
          <w:rFonts w:ascii="Times New Roman" w:eastAsiaTheme="minorEastAsia" w:hAnsi="Times New Roman"/>
          <w:lang w:val="en-US" w:eastAsia="ja-JP"/>
        </w:rPr>
        <w:t xml:space="preserve"> </w:t>
      </w:r>
      <w:r w:rsidR="00F23D4B" w:rsidRPr="003438EC">
        <w:rPr>
          <w:rFonts w:ascii="Times New Roman" w:eastAsiaTheme="minorEastAsia" w:hAnsi="Times New Roman"/>
          <w:lang w:val="en-US" w:eastAsia="ja-JP"/>
        </w:rPr>
        <w:t xml:space="preserve">to </w:t>
      </w:r>
      <w:r w:rsidR="00F23D4B" w:rsidRPr="003438EC">
        <w:rPr>
          <w:rFonts w:ascii="Times New Roman" w:eastAsiaTheme="minorEastAsia" w:hAnsi="Times New Roman"/>
          <w:color w:val="000000"/>
          <w:szCs w:val="18"/>
          <w:lang w:val="en-US" w:eastAsia="ja-JP"/>
        </w:rPr>
        <w:t>δ</w:t>
      </w:r>
      <w:r w:rsidR="00F23D4B" w:rsidRPr="003438EC">
        <w:rPr>
          <w:rFonts w:ascii="Times New Roman" w:eastAsiaTheme="minorEastAsia" w:hAnsi="Times New Roman"/>
          <w:color w:val="000000"/>
          <w:szCs w:val="12"/>
          <w:vertAlign w:val="superscript"/>
          <w:lang w:val="en-US" w:eastAsia="ja-JP"/>
        </w:rPr>
        <w:t>11</w:t>
      </w:r>
      <w:r w:rsidR="00F23D4B" w:rsidRPr="003438EC">
        <w:rPr>
          <w:rFonts w:ascii="Times New Roman" w:eastAsiaTheme="minorEastAsia" w:hAnsi="Times New Roman"/>
          <w:color w:val="000000"/>
          <w:szCs w:val="18"/>
          <w:lang w:val="en-US" w:eastAsia="ja-JP"/>
        </w:rPr>
        <w:t>B</w:t>
      </w:r>
      <w:r w:rsidR="00F23D4B">
        <w:rPr>
          <w:rFonts w:ascii="Times New Roman" w:eastAsiaTheme="minorEastAsia" w:hAnsi="Times New Roman"/>
          <w:vertAlign w:val="subscript"/>
          <w:lang w:val="en-US" w:eastAsia="ja-JP"/>
        </w:rPr>
        <w:t>sw</w:t>
      </w:r>
      <w:r w:rsidR="003438EC" w:rsidRPr="003438EC">
        <w:rPr>
          <w:rFonts w:ascii="Times New Roman" w:eastAsiaTheme="minorEastAsia" w:hAnsi="Times New Roman"/>
          <w:lang w:val="en-US" w:eastAsia="ja-JP"/>
        </w:rPr>
        <w:t>.</w:t>
      </w:r>
      <w:r w:rsidR="00F23D4B">
        <w:rPr>
          <w:rFonts w:ascii="Times New Roman" w:eastAsiaTheme="minorEastAsia" w:hAnsi="Times New Roman"/>
          <w:lang w:val="en-US" w:eastAsia="ja-JP"/>
        </w:rPr>
        <w:t xml:space="preserve"> This approach yield</w:t>
      </w:r>
      <w:r w:rsidR="00D65079">
        <w:rPr>
          <w:rFonts w:ascii="Times New Roman" w:eastAsiaTheme="minorEastAsia" w:hAnsi="Times New Roman"/>
          <w:lang w:val="en-US" w:eastAsia="ja-JP"/>
        </w:rPr>
        <w:t>s</w:t>
      </w:r>
      <w:r w:rsidR="00F23D4B">
        <w:rPr>
          <w:rFonts w:ascii="Times New Roman" w:eastAsiaTheme="minorEastAsia" w:hAnsi="Times New Roman"/>
          <w:lang w:val="en-US" w:eastAsia="ja-JP"/>
        </w:rPr>
        <w:t xml:space="preserve"> broadly similar result</w:t>
      </w:r>
      <w:r w:rsidR="0000021C">
        <w:rPr>
          <w:rFonts w:ascii="Times New Roman" w:eastAsiaTheme="minorEastAsia" w:hAnsi="Times New Roman"/>
          <w:lang w:val="en-US" w:eastAsia="ja-JP"/>
        </w:rPr>
        <w:t>s to geochemical modeling (F</w:t>
      </w:r>
      <w:r w:rsidR="00F23D4B">
        <w:rPr>
          <w:rFonts w:ascii="Times New Roman" w:eastAsiaTheme="minorEastAsia" w:hAnsi="Times New Roman"/>
          <w:lang w:val="en-US" w:eastAsia="ja-JP"/>
        </w:rPr>
        <w:t xml:space="preserve">ig. </w:t>
      </w:r>
      <w:r w:rsidR="0000021C">
        <w:rPr>
          <w:rFonts w:ascii="Times New Roman" w:eastAsiaTheme="minorEastAsia" w:hAnsi="Times New Roman"/>
          <w:lang w:val="en-US" w:eastAsia="ja-JP"/>
        </w:rPr>
        <w:t>2</w:t>
      </w:r>
      <w:r w:rsidR="00F23D4B">
        <w:rPr>
          <w:rFonts w:ascii="Times New Roman" w:eastAsiaTheme="minorEastAsia" w:hAnsi="Times New Roman"/>
          <w:lang w:val="en-US" w:eastAsia="ja-JP"/>
        </w:rPr>
        <w:t>).</w:t>
      </w:r>
      <w:r w:rsidR="003438EC" w:rsidRPr="003438EC">
        <w:rPr>
          <w:rFonts w:ascii="Times New Roman" w:eastAsiaTheme="minorEastAsia" w:hAnsi="Times New Roman"/>
          <w:lang w:val="en-US" w:eastAsia="ja-JP"/>
        </w:rPr>
        <w:t xml:space="preserve"> </w:t>
      </w:r>
    </w:p>
    <w:p w14:paraId="76BFE479" w14:textId="5085D41B" w:rsidR="0094724C" w:rsidRPr="00562724" w:rsidRDefault="00F23D4B" w:rsidP="00CE1586">
      <w:pPr>
        <w:widowControl w:val="0"/>
        <w:autoSpaceDE w:val="0"/>
        <w:autoSpaceDN w:val="0"/>
        <w:adjustRightInd w:val="0"/>
        <w:spacing w:after="240"/>
      </w:pPr>
      <w:r>
        <w:rPr>
          <w:rFonts w:ascii="Times New Roman" w:eastAsiaTheme="minorEastAsia" w:hAnsi="Times New Roman"/>
          <w:lang w:val="en-US" w:eastAsia="ja-JP"/>
        </w:rPr>
        <w:t xml:space="preserve">The fourth approach </w:t>
      </w:r>
      <w:r>
        <w:t xml:space="preserve">exploits the non-linear relationship between </w:t>
      </w:r>
      <w:r w:rsidRPr="00B31007">
        <w:rPr>
          <w:rFonts w:ascii="Times New Roman" w:hAnsi="Times New Roman"/>
        </w:rPr>
        <w:t>δ</w:t>
      </w:r>
      <w:r w:rsidRPr="00B31007">
        <w:rPr>
          <w:vertAlign w:val="superscript"/>
        </w:rPr>
        <w:t>11</w:t>
      </w:r>
      <w:r w:rsidRPr="00B31007">
        <w:t>B</w:t>
      </w:r>
      <w:r>
        <w:t xml:space="preserve"> and pH alongside estimated pH </w:t>
      </w:r>
      <w:r w:rsidRPr="00C266CD">
        <w:t>gradient</w:t>
      </w:r>
      <w:r w:rsidRPr="00464C61">
        <w:t>s</w:t>
      </w:r>
      <w:r>
        <w:t xml:space="preserve"> in the ocean to constrain </w:t>
      </w:r>
      <w:r w:rsidRPr="00B31007">
        <w:rPr>
          <w:rFonts w:ascii="Times New Roman" w:hAnsi="Times New Roman"/>
        </w:rPr>
        <w:t>δ</w:t>
      </w:r>
      <w:r w:rsidRPr="00B31007">
        <w:rPr>
          <w:vertAlign w:val="superscript"/>
        </w:rPr>
        <w:t>11</w:t>
      </w:r>
      <w:r w:rsidRPr="00B31007">
        <w:t>B</w:t>
      </w:r>
      <w:r w:rsidRPr="00B31007">
        <w:rPr>
          <w:vertAlign w:val="subscript"/>
        </w:rPr>
        <w:t>sw</w:t>
      </w:r>
      <w:r>
        <w:t xml:space="preserve"> </w:t>
      </w:r>
      <w:r w:rsidRPr="00562724">
        <w:rPr>
          <w:noProof/>
        </w:rPr>
        <w:t>(Palmer et al., 1998; Pearson and Palmer 1999, Pearson and Palmer 2000)</w:t>
      </w:r>
      <w:r>
        <w:t xml:space="preserve"> and </w:t>
      </w:r>
      <w:r>
        <w:rPr>
          <w:rFonts w:ascii="Times New Roman" w:eastAsiaTheme="minorEastAsia" w:hAnsi="Times New Roman"/>
          <w:lang w:val="en-US" w:eastAsia="ja-JP"/>
        </w:rPr>
        <w:t xml:space="preserve">is the basis of the approach used in this study. The advantage of this method is that </w:t>
      </w:r>
      <w:bookmarkStart w:id="3" w:name="_Toc287775647"/>
      <w:r w:rsidR="0026598C" w:rsidRPr="00B31007">
        <w:rPr>
          <w:rFonts w:ascii="Times New Roman" w:hAnsi="Times New Roman"/>
        </w:rPr>
        <w:t>δ</w:t>
      </w:r>
      <w:r w:rsidR="0026598C" w:rsidRPr="00B31007">
        <w:rPr>
          <w:vertAlign w:val="superscript"/>
        </w:rPr>
        <w:t>11</w:t>
      </w:r>
      <w:r w:rsidR="0026598C" w:rsidRPr="00B31007">
        <w:t>B</w:t>
      </w:r>
      <w:r w:rsidR="0026598C" w:rsidRPr="00B31007">
        <w:rPr>
          <w:vertAlign w:val="subscript"/>
        </w:rPr>
        <w:t>sw</w:t>
      </w:r>
      <w:r w:rsidR="0026598C">
        <w:t xml:space="preserve"> </w:t>
      </w:r>
      <w:r>
        <w:t xml:space="preserve">can be reconstructed empirically </w:t>
      </w:r>
      <w:r w:rsidR="0026598C">
        <w:t xml:space="preserve">without relying on </w:t>
      </w:r>
      <w:r w:rsidR="00CD4B3D">
        <w:rPr>
          <w:i/>
        </w:rPr>
        <w:t xml:space="preserve">a priori </w:t>
      </w:r>
      <w:r w:rsidR="00CD4B3D">
        <w:t>absolute</w:t>
      </w:r>
      <w:r w:rsidR="00CD4B3D">
        <w:rPr>
          <w:i/>
        </w:rPr>
        <w:t>-</w:t>
      </w:r>
      <w:r w:rsidR="0026598C">
        <w:t xml:space="preserve">pH constraints. The non-linear relationship between </w:t>
      </w:r>
      <w:r w:rsidR="0026598C" w:rsidRPr="00B31007">
        <w:rPr>
          <w:rFonts w:ascii="Times New Roman" w:hAnsi="Times New Roman"/>
        </w:rPr>
        <w:t>δ</w:t>
      </w:r>
      <w:r w:rsidR="0026598C" w:rsidRPr="00B31007">
        <w:rPr>
          <w:vertAlign w:val="superscript"/>
        </w:rPr>
        <w:t>11</w:t>
      </w:r>
      <w:r w:rsidR="0026598C" w:rsidRPr="00B31007">
        <w:t>B</w:t>
      </w:r>
      <w:r w:rsidR="0026598C">
        <w:rPr>
          <w:vertAlign w:val="subscript"/>
        </w:rPr>
        <w:t xml:space="preserve"> </w:t>
      </w:r>
      <w:r w:rsidR="0026598C">
        <w:t xml:space="preserve">and pH means that the pH difference between two </w:t>
      </w:r>
      <w:r w:rsidR="0026598C" w:rsidRPr="00B31007">
        <w:rPr>
          <w:rFonts w:ascii="Times New Roman" w:hAnsi="Times New Roman"/>
        </w:rPr>
        <w:t>δ</w:t>
      </w:r>
      <w:r w:rsidR="0026598C" w:rsidRPr="00B31007">
        <w:rPr>
          <w:vertAlign w:val="superscript"/>
        </w:rPr>
        <w:t>11</w:t>
      </w:r>
      <w:r w:rsidR="0026598C" w:rsidRPr="00B31007">
        <w:t>B</w:t>
      </w:r>
      <w:r w:rsidR="0026598C">
        <w:t xml:space="preserve"> data points varies as a function of </w:t>
      </w:r>
      <w:r w:rsidR="0026598C" w:rsidRPr="00B31007">
        <w:rPr>
          <w:rFonts w:ascii="Times New Roman" w:hAnsi="Times New Roman"/>
        </w:rPr>
        <w:t>δ</w:t>
      </w:r>
      <w:r w:rsidR="0026598C" w:rsidRPr="00B31007">
        <w:rPr>
          <w:vertAlign w:val="superscript"/>
        </w:rPr>
        <w:t>11</w:t>
      </w:r>
      <w:r w:rsidR="0026598C" w:rsidRPr="00B31007">
        <w:t>B</w:t>
      </w:r>
      <w:r w:rsidR="0026598C" w:rsidRPr="00B31007">
        <w:rPr>
          <w:vertAlign w:val="subscript"/>
        </w:rPr>
        <w:t>sw</w:t>
      </w:r>
      <w:r w:rsidR="0026598C">
        <w:rPr>
          <w:vertAlign w:val="subscript"/>
        </w:rPr>
        <w:t xml:space="preserve"> </w:t>
      </w:r>
      <w:r w:rsidR="0026598C">
        <w:t>(Fig. 3). Consequently</w:t>
      </w:r>
      <w:r w:rsidR="00D65079">
        <w:t>,</w:t>
      </w:r>
      <w:r w:rsidR="0026598C">
        <w:t xml:space="preserve"> if the size of the pH gradient </w:t>
      </w:r>
      <w:r w:rsidR="00320DBA">
        <w:t>can be estimated</w:t>
      </w:r>
      <w:r w:rsidR="00D65079">
        <w:t xml:space="preserve"> </w:t>
      </w:r>
      <w:r w:rsidR="00320DBA">
        <w:t>then</w:t>
      </w:r>
      <w:r w:rsidR="0026598C">
        <w:t xml:space="preserve"> there is only one </w:t>
      </w:r>
      <w:r w:rsidR="0026598C" w:rsidRPr="00B31007">
        <w:rPr>
          <w:rFonts w:ascii="Times New Roman" w:hAnsi="Times New Roman"/>
        </w:rPr>
        <w:t>δ</w:t>
      </w:r>
      <w:r w:rsidR="0026598C" w:rsidRPr="00B31007">
        <w:rPr>
          <w:vertAlign w:val="superscript"/>
        </w:rPr>
        <w:t>11</w:t>
      </w:r>
      <w:r w:rsidR="0026598C" w:rsidRPr="00B31007">
        <w:t>B</w:t>
      </w:r>
      <w:r w:rsidR="0026598C" w:rsidRPr="00B31007">
        <w:rPr>
          <w:vertAlign w:val="subscript"/>
        </w:rPr>
        <w:t>sw</w:t>
      </w:r>
      <w:r w:rsidR="0026598C">
        <w:t xml:space="preserve"> value that is consistent with the foraminiferal </w:t>
      </w:r>
      <w:r w:rsidR="0026598C" w:rsidRPr="00B31007">
        <w:rPr>
          <w:rFonts w:ascii="Times New Roman" w:hAnsi="Times New Roman"/>
        </w:rPr>
        <w:t>δ</w:t>
      </w:r>
      <w:r w:rsidR="0026598C" w:rsidRPr="00B31007">
        <w:rPr>
          <w:vertAlign w:val="superscript"/>
        </w:rPr>
        <w:t>11</w:t>
      </w:r>
      <w:r w:rsidR="0026598C" w:rsidRPr="00B31007">
        <w:t>B</w:t>
      </w:r>
      <w:r w:rsidR="0026598C">
        <w:t xml:space="preserve"> measurements and the specified pH gradient</w:t>
      </w:r>
      <w:r w:rsidR="00D65079">
        <w:t xml:space="preserve"> irrespective of the absolute pH</w:t>
      </w:r>
      <w:r w:rsidR="0026598C">
        <w:t xml:space="preserve"> (Fig. 3c). </w:t>
      </w:r>
      <w:r w:rsidR="008B0392" w:rsidRPr="00562724">
        <w:t xml:space="preserve">Previously this approach has been applied to pH variations in the surface ocean </w:t>
      </w:r>
      <w:r w:rsidR="008B0392" w:rsidRPr="00562724">
        <w:rPr>
          <w:rFonts w:ascii="Times New Roman" w:hAnsi="Times New Roman"/>
        </w:rPr>
        <w:t xml:space="preserve">and used in studies of Cenozoic </w:t>
      </w:r>
      <w:r w:rsidR="008B0392" w:rsidRPr="00562724">
        <w:rPr>
          <w:rFonts w:ascii="Times New Roman" w:hAnsi="Times New Roman"/>
          <w:i/>
        </w:rPr>
        <w:t>p</w:t>
      </w:r>
      <w:r w:rsidR="008B0392" w:rsidRPr="00562724">
        <w:rPr>
          <w:rFonts w:ascii="Times New Roman" w:hAnsi="Times New Roman"/>
        </w:rPr>
        <w:t>CO</w:t>
      </w:r>
      <w:r w:rsidR="008B0392" w:rsidRPr="00562724">
        <w:rPr>
          <w:rFonts w:ascii="Times New Roman" w:hAnsi="Times New Roman"/>
          <w:vertAlign w:val="subscript"/>
        </w:rPr>
        <w:t>2</w:t>
      </w:r>
      <w:r w:rsidR="008B0392" w:rsidRPr="00562724">
        <w:rPr>
          <w:rFonts w:ascii="Times New Roman" w:hAnsi="Times New Roman"/>
        </w:rPr>
        <w:t xml:space="preserve"> to account for changes in </w:t>
      </w:r>
      <w:r w:rsidR="008B0392" w:rsidRPr="00562724">
        <w:rPr>
          <w:rFonts w:ascii="Times New Roman" w:hAnsi="Times New Roman"/>
          <w:color w:val="000000"/>
          <w:szCs w:val="18"/>
        </w:rPr>
        <w:t>δ</w:t>
      </w:r>
      <w:r w:rsidR="008B0392" w:rsidRPr="00562724">
        <w:rPr>
          <w:rFonts w:ascii="Times New Roman" w:hAnsi="Times New Roman"/>
          <w:color w:val="000000"/>
          <w:szCs w:val="12"/>
          <w:vertAlign w:val="superscript"/>
        </w:rPr>
        <w:t>11</w:t>
      </w:r>
      <w:r w:rsidR="008B0392" w:rsidRPr="00562724">
        <w:rPr>
          <w:rFonts w:ascii="Times New Roman" w:hAnsi="Times New Roman"/>
          <w:color w:val="000000"/>
          <w:szCs w:val="18"/>
        </w:rPr>
        <w:t>B</w:t>
      </w:r>
      <w:r w:rsidR="008B0392" w:rsidRPr="00562724">
        <w:rPr>
          <w:rFonts w:ascii="Times New Roman" w:hAnsi="Times New Roman"/>
          <w:vertAlign w:val="subscript"/>
        </w:rPr>
        <w:t>sw</w:t>
      </w:r>
      <w:r w:rsidR="003637BE">
        <w:t xml:space="preserve"> (determined using </w:t>
      </w:r>
      <w:r w:rsidR="008B0392" w:rsidRPr="00562724">
        <w:rPr>
          <w:rFonts w:ascii="Times New Roman" w:hAnsi="Times New Roman"/>
        </w:rPr>
        <w:t>δ</w:t>
      </w:r>
      <w:r w:rsidR="008B0392" w:rsidRPr="00562724">
        <w:rPr>
          <w:vertAlign w:val="superscript"/>
        </w:rPr>
        <w:t>11</w:t>
      </w:r>
      <w:r w:rsidR="003637BE">
        <w:t>B in</w:t>
      </w:r>
      <w:r w:rsidR="008B0392" w:rsidRPr="00562724">
        <w:t xml:space="preserve"> surface and thermocline</w:t>
      </w:r>
      <w:r w:rsidR="003637BE">
        <w:t>-</w:t>
      </w:r>
      <w:r w:rsidR="008B0392" w:rsidRPr="00562724">
        <w:t xml:space="preserve">dwelling foraminifera) (Fig. 2) </w:t>
      </w:r>
      <w:r w:rsidR="008B0392" w:rsidRPr="00562724">
        <w:rPr>
          <w:noProof/>
        </w:rPr>
        <w:t>(Palmer et al., 1998; Pearson and Palmer 1999, Pearson and Palmer 2000</w:t>
      </w:r>
      <w:r w:rsidR="00E72588">
        <w:rPr>
          <w:noProof/>
        </w:rPr>
        <w:t xml:space="preserve">; </w:t>
      </w:r>
      <w:r w:rsidR="00E72588" w:rsidRPr="004149F8">
        <w:rPr>
          <w:noProof/>
        </w:rPr>
        <w:t>Anagnostou et al., 2016</w:t>
      </w:r>
      <w:r w:rsidR="008B0392" w:rsidRPr="00562724">
        <w:rPr>
          <w:noProof/>
        </w:rPr>
        <w:t>)</w:t>
      </w:r>
      <w:r w:rsidR="008B0392" w:rsidRPr="00562724">
        <w:t>. This approach uses a constant pH gradien</w:t>
      </w:r>
      <w:r w:rsidR="003637BE">
        <w:t xml:space="preserve">t between the surface and some depth </w:t>
      </w:r>
      <w:r w:rsidR="008B0392" w:rsidRPr="00562724">
        <w:t xml:space="preserve">proximal to the oxygen minimum zone </w:t>
      </w:r>
      <w:r w:rsidR="008B0392">
        <w:t xml:space="preserve">and the </w:t>
      </w:r>
      <w:r w:rsidR="008B0392" w:rsidRPr="00562724">
        <w:t xml:space="preserve">boron isotope values of a mixed layer dwelling species and </w:t>
      </w:r>
      <w:r w:rsidR="008B0392">
        <w:t xml:space="preserve">thermocline dweller </w:t>
      </w:r>
      <w:r w:rsidR="008B0392" w:rsidRPr="00562724">
        <w:t xml:space="preserve">to calculate a value for </w:t>
      </w:r>
      <w:r w:rsidR="008B0392" w:rsidRPr="00562724">
        <w:sym w:font="Symbol" w:char="F064"/>
      </w:r>
      <w:r w:rsidR="008B0392" w:rsidRPr="00562724">
        <w:rPr>
          <w:vertAlign w:val="superscript"/>
        </w:rPr>
        <w:t>11</w:t>
      </w:r>
      <w:r w:rsidR="008B0392" w:rsidRPr="00562724">
        <w:t>B</w:t>
      </w:r>
      <w:r w:rsidR="008B0392" w:rsidRPr="00562724">
        <w:rPr>
          <w:vertAlign w:val="subscript"/>
        </w:rPr>
        <w:t>sw</w:t>
      </w:r>
      <w:r w:rsidR="008B0392" w:rsidRPr="00562724">
        <w:t xml:space="preserve"> </w:t>
      </w:r>
      <w:r w:rsidR="008B0392" w:rsidRPr="00562724">
        <w:rPr>
          <w:noProof/>
        </w:rPr>
        <w:t>(Pearson and Palmer, 1999)</w:t>
      </w:r>
      <w:r w:rsidR="008B0392" w:rsidRPr="00562724">
        <w:t xml:space="preserve">. </w:t>
      </w:r>
      <w:r w:rsidR="00D65079">
        <w:t>The resulting record</w:t>
      </w:r>
      <w:r w:rsidR="008B0392" w:rsidRPr="00562724">
        <w:t xml:space="preserve"> </w:t>
      </w:r>
      <w:r w:rsidR="00E72588" w:rsidRPr="00562724">
        <w:t>s</w:t>
      </w:r>
      <w:r w:rsidR="00E72588">
        <w:t xml:space="preserve">uggests </w:t>
      </w:r>
      <w:r w:rsidR="003637BE">
        <w:t>that</w:t>
      </w:r>
      <w:r w:rsidR="008B0392" w:rsidRPr="00562724">
        <w:t xml:space="preserve"> </w:t>
      </w:r>
      <w:r w:rsidR="008B0392" w:rsidRPr="00562724">
        <w:sym w:font="Symbol" w:char="F064"/>
      </w:r>
      <w:r w:rsidR="008B0392" w:rsidRPr="00562724">
        <w:rPr>
          <w:vertAlign w:val="superscript"/>
        </w:rPr>
        <w:t>11</w:t>
      </w:r>
      <w:r w:rsidR="008B0392" w:rsidRPr="00562724">
        <w:t>B</w:t>
      </w:r>
      <w:r w:rsidR="008B0392" w:rsidRPr="00562724">
        <w:rPr>
          <w:vertAlign w:val="subscript"/>
        </w:rPr>
        <w:t xml:space="preserve">sw </w:t>
      </w:r>
      <w:r w:rsidR="008B0392" w:rsidRPr="00562724">
        <w:t xml:space="preserve">varies between 37.7‰ and 39.4‰ through the Neogene (Fig. 2) </w:t>
      </w:r>
      <w:r w:rsidR="008B0392" w:rsidRPr="00562724">
        <w:rPr>
          <w:noProof/>
        </w:rPr>
        <w:t>(Pearson and Palmer, 2000)</w:t>
      </w:r>
      <w:r w:rsidR="008B0392" w:rsidRPr="00562724">
        <w:t xml:space="preserve">. </w:t>
      </w:r>
    </w:p>
    <w:p w14:paraId="3809BA56" w14:textId="477DB98F" w:rsidR="008B0392" w:rsidRPr="00693945" w:rsidRDefault="008B0392">
      <w:pPr>
        <w:widowControl w:val="0"/>
        <w:autoSpaceDE w:val="0"/>
        <w:autoSpaceDN w:val="0"/>
        <w:adjustRightInd w:val="0"/>
        <w:spacing w:after="0"/>
        <w:rPr>
          <w:rFonts w:ascii="Times New Roman" w:eastAsiaTheme="minorEastAsia" w:hAnsi="Times New Roman"/>
          <w:color w:val="000066"/>
          <w:lang w:val="en-US" w:eastAsia="ja-JP"/>
        </w:rPr>
      </w:pPr>
      <w:r w:rsidRPr="00693945">
        <w:rPr>
          <w:rFonts w:ascii="Times New Roman" w:hAnsi="Times New Roman"/>
        </w:rPr>
        <w:t>The same method, but using planktic-benthic instead of surface planktic-thermocline planktic δ</w:t>
      </w:r>
      <w:r w:rsidRPr="00693945">
        <w:rPr>
          <w:rFonts w:ascii="Times New Roman" w:hAnsi="Times New Roman"/>
          <w:vertAlign w:val="superscript"/>
        </w:rPr>
        <w:t>11</w:t>
      </w:r>
      <w:r w:rsidRPr="00693945">
        <w:rPr>
          <w:rFonts w:ascii="Times New Roman" w:hAnsi="Times New Roman"/>
        </w:rPr>
        <w:t>B gradients to calculate δ</w:t>
      </w:r>
      <w:r w:rsidRPr="00693945">
        <w:rPr>
          <w:rFonts w:ascii="Times New Roman" w:hAnsi="Times New Roman"/>
          <w:vertAlign w:val="superscript"/>
        </w:rPr>
        <w:t>11</w:t>
      </w:r>
      <w:r w:rsidRPr="00693945">
        <w:rPr>
          <w:rFonts w:ascii="Times New Roman" w:hAnsi="Times New Roman"/>
        </w:rPr>
        <w:t>B</w:t>
      </w:r>
      <w:r w:rsidRPr="00693945">
        <w:rPr>
          <w:rFonts w:ascii="Times New Roman" w:hAnsi="Times New Roman"/>
          <w:vertAlign w:val="subscript"/>
        </w:rPr>
        <w:t>sw</w:t>
      </w:r>
      <w:r w:rsidRPr="00693945">
        <w:rPr>
          <w:rFonts w:ascii="Times New Roman" w:hAnsi="Times New Roman"/>
        </w:rPr>
        <w:t xml:space="preserve">, was </w:t>
      </w:r>
      <w:r w:rsidR="003637BE">
        <w:rPr>
          <w:rFonts w:ascii="Times New Roman" w:hAnsi="Times New Roman"/>
        </w:rPr>
        <w:t>recently</w:t>
      </w:r>
      <w:r w:rsidRPr="00693945">
        <w:rPr>
          <w:rFonts w:ascii="Times New Roman" w:hAnsi="Times New Roman"/>
        </w:rPr>
        <w:t xml:space="preserve"> applied </w:t>
      </w:r>
      <w:r w:rsidR="00562724" w:rsidRPr="00693945">
        <w:rPr>
          <w:rFonts w:ascii="Times New Roman" w:hAnsi="Times New Roman"/>
        </w:rPr>
        <w:t>to the middle Miocene where it yielded a δ</w:t>
      </w:r>
      <w:r w:rsidR="00562724" w:rsidRPr="00693945">
        <w:rPr>
          <w:rFonts w:ascii="Times New Roman" w:hAnsi="Times New Roman"/>
          <w:vertAlign w:val="superscript"/>
        </w:rPr>
        <w:t>11</w:t>
      </w:r>
      <w:r w:rsidR="00562724" w:rsidRPr="00693945">
        <w:rPr>
          <w:rFonts w:ascii="Times New Roman" w:hAnsi="Times New Roman"/>
        </w:rPr>
        <w:t>B</w:t>
      </w:r>
      <w:r w:rsidR="00562724" w:rsidRPr="00693945">
        <w:rPr>
          <w:rFonts w:ascii="Times New Roman" w:hAnsi="Times New Roman"/>
          <w:vertAlign w:val="subscript"/>
        </w:rPr>
        <w:t>sw</w:t>
      </w:r>
      <w:r w:rsidR="00562724" w:rsidRPr="00693945">
        <w:rPr>
          <w:rFonts w:ascii="Times New Roman" w:hAnsi="Times New Roman"/>
        </w:rPr>
        <w:t xml:space="preserve"> of 37.6</w:t>
      </w:r>
      <w:r w:rsidR="00A34BD5" w:rsidRPr="00693945">
        <w:rPr>
          <w:rFonts w:ascii="Times New Roman" w:hAnsi="Times New Roman"/>
        </w:rPr>
        <w:t xml:space="preserve"> </w:t>
      </w:r>
      <m:oMath>
        <m:f>
          <m:fPr>
            <m:type m:val="noBar"/>
            <m:ctrlPr>
              <w:rPr>
                <w:rFonts w:ascii="Cambria Math" w:hAnsi="Cambria Math"/>
                <w:i/>
              </w:rPr>
            </m:ctrlPr>
          </m:fPr>
          <m:num>
            <m:r>
              <w:rPr>
                <w:rFonts w:ascii="Cambria Math" w:hAnsi="Cambria Math"/>
              </w:rPr>
              <m:t>+0.4</m:t>
            </m:r>
          </m:num>
          <m:den>
            <m:r>
              <w:rPr>
                <w:rFonts w:ascii="Cambria Math" w:hAnsi="Cambria Math"/>
              </w:rPr>
              <m:t>-0.5</m:t>
            </m:r>
          </m:den>
        </m:f>
      </m:oMath>
      <w:r w:rsidR="00A34BD5" w:rsidRPr="00693945">
        <w:rPr>
          <w:rFonts w:ascii="Times New Roman" w:hAnsi="Times New Roman"/>
        </w:rPr>
        <w:t xml:space="preserve"> ‰</w:t>
      </w:r>
      <w:r w:rsidR="00562724" w:rsidRPr="00693945">
        <w:rPr>
          <w:rFonts w:ascii="Times New Roman" w:hAnsi="Times New Roman"/>
        </w:rPr>
        <w:t xml:space="preserve"> </w:t>
      </w:r>
      <w:r w:rsidR="00562724" w:rsidRPr="00693945">
        <w:rPr>
          <w:rFonts w:ascii="Times New Roman" w:hAnsi="Times New Roman"/>
          <w:noProof/>
        </w:rPr>
        <w:t>(Foster et al., 2012)</w:t>
      </w:r>
      <w:r w:rsidR="00562724" w:rsidRPr="00693945">
        <w:rPr>
          <w:rFonts w:ascii="Times New Roman" w:hAnsi="Times New Roman"/>
        </w:rPr>
        <w:t>.</w:t>
      </w:r>
      <w:r w:rsidR="00CC1373">
        <w:rPr>
          <w:rFonts w:ascii="Times New Roman" w:hAnsi="Times New Roman"/>
        </w:rPr>
        <w:t xml:space="preserve"> A further modification to the method </w:t>
      </w:r>
      <w:r w:rsidR="002A3785">
        <w:rPr>
          <w:rFonts w:ascii="Times New Roman" w:hAnsi="Times New Roman"/>
        </w:rPr>
        <w:t>of</w:t>
      </w:r>
      <w:r w:rsidR="005A4F65">
        <w:rPr>
          <w:rFonts w:ascii="Times New Roman" w:hAnsi="Times New Roman"/>
        </w:rPr>
        <w:t xml:space="preserve"> Pearson and Palmer</w:t>
      </w:r>
      <w:r w:rsidR="00CC1373">
        <w:rPr>
          <w:rFonts w:ascii="Times New Roman" w:hAnsi="Times New Roman"/>
        </w:rPr>
        <w:t xml:space="preserve"> </w:t>
      </w:r>
      <w:r w:rsidR="00E72588">
        <w:rPr>
          <w:rFonts w:ascii="Times New Roman" w:hAnsi="Times New Roman"/>
        </w:rPr>
        <w:t>(</w:t>
      </w:r>
      <w:r w:rsidR="00CC1373">
        <w:rPr>
          <w:rFonts w:ascii="Times New Roman" w:hAnsi="Times New Roman"/>
        </w:rPr>
        <w:t>1999</w:t>
      </w:r>
      <w:r w:rsidR="00E72588">
        <w:rPr>
          <w:rFonts w:ascii="Times New Roman" w:hAnsi="Times New Roman"/>
        </w:rPr>
        <w:t>)</w:t>
      </w:r>
      <w:r w:rsidR="00CC1373">
        <w:rPr>
          <w:rFonts w:ascii="Times New Roman" w:hAnsi="Times New Roman"/>
        </w:rPr>
        <w:t xml:space="preserve"> </w:t>
      </w:r>
      <w:r w:rsidR="005A4F65">
        <w:rPr>
          <w:rFonts w:ascii="Times New Roman" w:hAnsi="Times New Roman"/>
        </w:rPr>
        <w:t>was also proposed in that</w:t>
      </w:r>
      <w:r w:rsidR="00CC1373">
        <w:rPr>
          <w:rFonts w:ascii="Times New Roman" w:hAnsi="Times New Roman"/>
        </w:rPr>
        <w:t xml:space="preserve"> study</w:t>
      </w:r>
      <w:r w:rsidR="002A3785">
        <w:rPr>
          <w:rFonts w:ascii="Times New Roman" w:hAnsi="Times New Roman"/>
        </w:rPr>
        <w:t xml:space="preserve"> where</w:t>
      </w:r>
      <w:r w:rsidR="005A4F65">
        <w:rPr>
          <w:rFonts w:ascii="Times New Roman" w:hAnsi="Times New Roman"/>
        </w:rPr>
        <w:t xml:space="preserve">in </w:t>
      </w:r>
      <w:r w:rsidR="00A34BD5" w:rsidRPr="00693945">
        <w:rPr>
          <w:rFonts w:ascii="Times New Roman" w:hAnsi="Times New Roman"/>
        </w:rPr>
        <w:sym w:font="Symbol" w:char="F064"/>
      </w:r>
      <w:r w:rsidR="00A34BD5" w:rsidRPr="00693945">
        <w:rPr>
          <w:rFonts w:ascii="Times New Roman" w:hAnsi="Times New Roman"/>
          <w:vertAlign w:val="superscript"/>
        </w:rPr>
        <w:t>13</w:t>
      </w:r>
      <w:r w:rsidR="00A34BD5" w:rsidRPr="00693945">
        <w:rPr>
          <w:rFonts w:ascii="Times New Roman" w:hAnsi="Times New Roman"/>
        </w:rPr>
        <w:t xml:space="preserve">C </w:t>
      </w:r>
      <w:r w:rsidR="003637BE">
        <w:rPr>
          <w:rFonts w:ascii="Times New Roman" w:hAnsi="Times New Roman"/>
        </w:rPr>
        <w:t>in</w:t>
      </w:r>
      <w:r w:rsidR="00A34BD5" w:rsidRPr="00693945">
        <w:rPr>
          <w:rFonts w:ascii="Times New Roman" w:hAnsi="Times New Roman"/>
        </w:rPr>
        <w:t xml:space="preserve"> foraminiferal ca</w:t>
      </w:r>
      <w:r w:rsidR="003637BE">
        <w:rPr>
          <w:rFonts w:ascii="Times New Roman" w:hAnsi="Times New Roman"/>
        </w:rPr>
        <w:t>lcite</w:t>
      </w:r>
      <w:r w:rsidR="00CC1373">
        <w:rPr>
          <w:rFonts w:ascii="Times New Roman" w:hAnsi="Times New Roman"/>
        </w:rPr>
        <w:t xml:space="preserve"> was used </w:t>
      </w:r>
      <w:r w:rsidR="003637BE">
        <w:rPr>
          <w:rFonts w:ascii="Times New Roman" w:hAnsi="Times New Roman"/>
        </w:rPr>
        <w:t>to estimate the surface-to-</w:t>
      </w:r>
      <w:r w:rsidR="00A34BD5" w:rsidRPr="00693945">
        <w:rPr>
          <w:rFonts w:ascii="Times New Roman" w:hAnsi="Times New Roman"/>
        </w:rPr>
        <w:t xml:space="preserve">deep pH gradient </w:t>
      </w:r>
      <w:r w:rsidR="00A34BD5" w:rsidRPr="00693945">
        <w:rPr>
          <w:rFonts w:ascii="Times New Roman" w:hAnsi="Times New Roman"/>
          <w:noProof/>
        </w:rPr>
        <w:t>(Foster et al., 2012)</w:t>
      </w:r>
      <w:r w:rsidR="00A34BD5" w:rsidRPr="00693945">
        <w:rPr>
          <w:rFonts w:ascii="Times New Roman" w:hAnsi="Times New Roman"/>
        </w:rPr>
        <w:t xml:space="preserve">. </w:t>
      </w:r>
      <w:r w:rsidR="002A3785" w:rsidRPr="00693945">
        <w:rPr>
          <w:rFonts w:ascii="Times New Roman" w:hAnsi="Times New Roman"/>
        </w:rPr>
        <w:t>Here</w:t>
      </w:r>
      <w:r w:rsidR="005A4F65">
        <w:rPr>
          <w:rFonts w:ascii="Times New Roman" w:hAnsi="Times New Roman"/>
        </w:rPr>
        <w:t>,</w:t>
      </w:r>
      <w:r w:rsidR="002A3785" w:rsidRPr="00693945">
        <w:rPr>
          <w:rFonts w:ascii="Times New Roman" w:hAnsi="Times New Roman"/>
        </w:rPr>
        <w:t xml:space="preserve"> we </w:t>
      </w:r>
      <w:r w:rsidR="002A3785">
        <w:rPr>
          <w:rFonts w:ascii="Times New Roman" w:hAnsi="Times New Roman"/>
        </w:rPr>
        <w:t>reconstruct</w:t>
      </w:r>
      <w:r w:rsidR="002A3785" w:rsidRPr="00693945">
        <w:rPr>
          <w:rFonts w:ascii="Times New Roman" w:hAnsi="Times New Roman"/>
        </w:rPr>
        <w:t xml:space="preserve"> δ</w:t>
      </w:r>
      <w:r w:rsidR="002A3785" w:rsidRPr="00693945">
        <w:rPr>
          <w:rFonts w:ascii="Times New Roman" w:hAnsi="Times New Roman"/>
          <w:vertAlign w:val="superscript"/>
        </w:rPr>
        <w:t>11</w:t>
      </w:r>
      <w:r w:rsidR="002A3785" w:rsidRPr="00693945">
        <w:rPr>
          <w:rFonts w:ascii="Times New Roman" w:hAnsi="Times New Roman"/>
        </w:rPr>
        <w:t>B</w:t>
      </w:r>
      <w:r w:rsidR="002A3785" w:rsidRPr="00693945">
        <w:rPr>
          <w:rFonts w:ascii="Times New Roman" w:hAnsi="Times New Roman"/>
          <w:vertAlign w:val="subscript"/>
        </w:rPr>
        <w:t>sw</w:t>
      </w:r>
      <w:r w:rsidR="002A3785" w:rsidRPr="00693945">
        <w:rPr>
          <w:rFonts w:ascii="Times New Roman" w:hAnsi="Times New Roman"/>
        </w:rPr>
        <w:t xml:space="preserve"> </w:t>
      </w:r>
      <w:r w:rsidR="002A3785">
        <w:rPr>
          <w:rFonts w:ascii="Times New Roman" w:hAnsi="Times New Roman"/>
        </w:rPr>
        <w:t>for the last 23</w:t>
      </w:r>
      <w:r w:rsidR="0000021C">
        <w:rPr>
          <w:rFonts w:ascii="Times New Roman" w:hAnsi="Times New Roman"/>
        </w:rPr>
        <w:t xml:space="preserve"> </w:t>
      </w:r>
      <w:r w:rsidR="002A3785">
        <w:rPr>
          <w:rFonts w:ascii="Times New Roman" w:hAnsi="Times New Roman"/>
        </w:rPr>
        <w:t xml:space="preserve">Ma, the Neogene, based on this modified approach. </w:t>
      </w:r>
      <w:r w:rsidR="005A4F65">
        <w:rPr>
          <w:rFonts w:ascii="Times New Roman" w:hAnsi="Times New Roman"/>
        </w:rPr>
        <w:t>We undertake</w:t>
      </w:r>
      <w:r w:rsidR="002A3785">
        <w:rPr>
          <w:rFonts w:ascii="Times New Roman" w:hAnsi="Times New Roman"/>
        </w:rPr>
        <w:t xml:space="preserve"> extensive sensitivity tests </w:t>
      </w:r>
      <w:r w:rsidR="005A4F65">
        <w:rPr>
          <w:rFonts w:ascii="Times New Roman" w:hAnsi="Times New Roman"/>
        </w:rPr>
        <w:t>using</w:t>
      </w:r>
      <w:r w:rsidR="002A3785">
        <w:rPr>
          <w:rFonts w:ascii="Times New Roman" w:hAnsi="Times New Roman"/>
        </w:rPr>
        <w:t xml:space="preserve"> both the CYCLOPS carbon cycle box model and the GENIE Earth system model to define the plausible range </w:t>
      </w:r>
      <w:r w:rsidR="005A4F65">
        <w:rPr>
          <w:rFonts w:ascii="Times New Roman" w:hAnsi="Times New Roman"/>
        </w:rPr>
        <w:t>in</w:t>
      </w:r>
      <w:r w:rsidR="002A3785">
        <w:rPr>
          <w:rFonts w:ascii="Times New Roman" w:hAnsi="Times New Roman"/>
        </w:rPr>
        <w:t xml:space="preserve"> the relationship between surface/deep pH difference and </w:t>
      </w:r>
      <w:r w:rsidR="002A3785" w:rsidRPr="00693945">
        <w:rPr>
          <w:rFonts w:ascii="Times New Roman" w:hAnsi="Times New Roman"/>
        </w:rPr>
        <w:sym w:font="Symbol" w:char="F064"/>
      </w:r>
      <w:r w:rsidR="002A3785" w:rsidRPr="00693945">
        <w:rPr>
          <w:rFonts w:ascii="Times New Roman" w:hAnsi="Times New Roman"/>
          <w:vertAlign w:val="superscript"/>
        </w:rPr>
        <w:t>13</w:t>
      </w:r>
      <w:r w:rsidR="002A3785" w:rsidRPr="00693945">
        <w:rPr>
          <w:rFonts w:ascii="Times New Roman" w:hAnsi="Times New Roman"/>
        </w:rPr>
        <w:t xml:space="preserve">C </w:t>
      </w:r>
      <w:r w:rsidR="002A3785">
        <w:rPr>
          <w:rFonts w:ascii="Times New Roman" w:hAnsi="Times New Roman"/>
        </w:rPr>
        <w:t>difference, which is a</w:t>
      </w:r>
      <w:r w:rsidR="00093767">
        <w:rPr>
          <w:rFonts w:ascii="Times New Roman" w:hAnsi="Times New Roman"/>
        </w:rPr>
        <w:t>n</w:t>
      </w:r>
      <w:r w:rsidR="002A3785">
        <w:rPr>
          <w:rFonts w:ascii="Times New Roman" w:hAnsi="Times New Roman"/>
        </w:rPr>
        <w:t xml:space="preserve"> essential parameter for </w:t>
      </w:r>
      <w:r w:rsidR="005A4F65">
        <w:rPr>
          <w:rFonts w:ascii="Times New Roman" w:hAnsi="Times New Roman"/>
        </w:rPr>
        <w:t>this</w:t>
      </w:r>
      <w:r w:rsidR="002A3785">
        <w:rPr>
          <w:rFonts w:ascii="Times New Roman" w:hAnsi="Times New Roman"/>
        </w:rPr>
        <w:t xml:space="preserve"> approach. </w:t>
      </w:r>
      <w:r w:rsidR="005A4F65">
        <w:rPr>
          <w:rFonts w:ascii="Times New Roman" w:hAnsi="Times New Roman"/>
        </w:rPr>
        <w:t>Finally, we</w:t>
      </w:r>
      <w:r w:rsidR="00811286">
        <w:rPr>
          <w:rFonts w:ascii="Times New Roman" w:hAnsi="Times New Roman"/>
        </w:rPr>
        <w:t xml:space="preserve"> employ a Monte Carlo approach for comprehensive propagation of uncertainty in all input parameters</w:t>
      </w:r>
      <w:r w:rsidR="005A4F65">
        <w:rPr>
          <w:rFonts w:ascii="Times New Roman" w:hAnsi="Times New Roman"/>
        </w:rPr>
        <w:t xml:space="preserve"> and we</w:t>
      </w:r>
      <w:r w:rsidR="002A3785" w:rsidRPr="00693945">
        <w:rPr>
          <w:rFonts w:ascii="Times New Roman" w:hAnsi="Times New Roman"/>
        </w:rPr>
        <w:t xml:space="preserve"> focus</w:t>
      </w:r>
      <w:r w:rsidR="002A3785">
        <w:rPr>
          <w:rFonts w:ascii="Times New Roman" w:hAnsi="Times New Roman"/>
        </w:rPr>
        <w:t xml:space="preserve"> </w:t>
      </w:r>
      <w:r w:rsidR="002A3785" w:rsidRPr="00693945">
        <w:rPr>
          <w:rFonts w:ascii="Times New Roman" w:hAnsi="Times New Roman"/>
        </w:rPr>
        <w:t>on reconstructing δ</w:t>
      </w:r>
      <w:r w:rsidR="002A3785" w:rsidRPr="00693945">
        <w:rPr>
          <w:rFonts w:ascii="Times New Roman" w:hAnsi="Times New Roman"/>
          <w:vertAlign w:val="superscript"/>
        </w:rPr>
        <w:t>11</w:t>
      </w:r>
      <w:r w:rsidR="002A3785" w:rsidRPr="00693945">
        <w:rPr>
          <w:rFonts w:ascii="Times New Roman" w:hAnsi="Times New Roman"/>
        </w:rPr>
        <w:t>B</w:t>
      </w:r>
      <w:r w:rsidR="002A3785" w:rsidRPr="00693945">
        <w:rPr>
          <w:rFonts w:ascii="Times New Roman" w:hAnsi="Times New Roman"/>
          <w:vertAlign w:val="subscript"/>
        </w:rPr>
        <w:t>sw</w:t>
      </w:r>
      <w:r w:rsidR="002A3785" w:rsidRPr="00693945">
        <w:rPr>
          <w:rFonts w:ascii="Times New Roman" w:hAnsi="Times New Roman"/>
        </w:rPr>
        <w:t xml:space="preserve"> </w:t>
      </w:r>
      <w:r w:rsidR="005A4F65">
        <w:rPr>
          <w:rFonts w:ascii="Times New Roman" w:hAnsi="Times New Roman"/>
        </w:rPr>
        <w:t>– the implications of our work for understanding the</w:t>
      </w:r>
      <w:r w:rsidR="002A3785" w:rsidRPr="00693945">
        <w:rPr>
          <w:rFonts w:ascii="Times New Roman" w:hAnsi="Times New Roman"/>
        </w:rPr>
        <w:t xml:space="preserve"> evolution of Neogene ocean pH and atmospheric </w:t>
      </w:r>
      <w:r w:rsidR="002A3785" w:rsidRPr="00693945">
        <w:rPr>
          <w:rFonts w:ascii="Times New Roman" w:hAnsi="Times New Roman"/>
          <w:i/>
        </w:rPr>
        <w:t>p</w:t>
      </w:r>
      <w:r w:rsidR="002A3785" w:rsidRPr="00693945">
        <w:rPr>
          <w:rFonts w:ascii="Times New Roman" w:hAnsi="Times New Roman"/>
        </w:rPr>
        <w:t>CO</w:t>
      </w:r>
      <w:r w:rsidR="002A3785" w:rsidRPr="00693945">
        <w:rPr>
          <w:rFonts w:ascii="Times New Roman" w:hAnsi="Times New Roman"/>
          <w:vertAlign w:val="subscript"/>
        </w:rPr>
        <w:t>2</w:t>
      </w:r>
      <w:r w:rsidR="002A3785" w:rsidRPr="00693945">
        <w:rPr>
          <w:rFonts w:ascii="Times New Roman" w:hAnsi="Times New Roman"/>
        </w:rPr>
        <w:t xml:space="preserve"> </w:t>
      </w:r>
      <w:r w:rsidR="002A3785">
        <w:rPr>
          <w:rFonts w:ascii="Times New Roman" w:hAnsi="Times New Roman"/>
        </w:rPr>
        <w:t>will be</w:t>
      </w:r>
      <w:r w:rsidR="002A3785" w:rsidRPr="00693945">
        <w:rPr>
          <w:rFonts w:ascii="Times New Roman" w:hAnsi="Times New Roman"/>
        </w:rPr>
        <w:t xml:space="preserve"> documented </w:t>
      </w:r>
      <w:r w:rsidR="002A3785">
        <w:rPr>
          <w:rFonts w:ascii="Times New Roman" w:hAnsi="Times New Roman"/>
        </w:rPr>
        <w:t>elsewhere.</w:t>
      </w:r>
    </w:p>
    <w:p w14:paraId="3119FB7E" w14:textId="2BCEFE76" w:rsidR="00FA27A7" w:rsidRDefault="00FA27A7">
      <w:pPr>
        <w:pStyle w:val="Heading2"/>
        <w:numPr>
          <w:ilvl w:val="0"/>
          <w:numId w:val="18"/>
        </w:numPr>
      </w:pPr>
      <w:bookmarkStart w:id="4" w:name="_Toc287775649"/>
      <w:bookmarkEnd w:id="3"/>
      <w:r>
        <w:t>Methods</w:t>
      </w:r>
    </w:p>
    <w:p w14:paraId="4F9BC442" w14:textId="4B5D8A80" w:rsidR="00961950" w:rsidRDefault="00961950">
      <w:pPr>
        <w:pStyle w:val="Heading3"/>
        <w:numPr>
          <w:ilvl w:val="1"/>
          <w:numId w:val="28"/>
        </w:numPr>
      </w:pPr>
      <w:r>
        <w:t>Site Locations and Age Models</w:t>
      </w:r>
      <w:bookmarkEnd w:id="4"/>
    </w:p>
    <w:p w14:paraId="25C4F869" w14:textId="084319BF" w:rsidR="00961950" w:rsidRDefault="00961950">
      <w:r>
        <w:t xml:space="preserve">Foraminifera from four sites are used to construct the planktic-benthic </w:t>
      </w:r>
      <w:r>
        <w:rPr>
          <w:rFonts w:ascii="Times New Roman" w:hAnsi="Times New Roman"/>
        </w:rPr>
        <w:t>δ</w:t>
      </w:r>
      <w:r>
        <w:rPr>
          <w:vertAlign w:val="superscript"/>
        </w:rPr>
        <w:t>11</w:t>
      </w:r>
      <w:r>
        <w:t>B pairs;</w:t>
      </w:r>
      <w:r w:rsidR="003637BE">
        <w:t xml:space="preserve"> Ocean Drilling Program,</w:t>
      </w:r>
      <w:r>
        <w:t xml:space="preserve"> ODP</w:t>
      </w:r>
      <w:r w:rsidR="003637BE">
        <w:t>,</w:t>
      </w:r>
      <w:r>
        <w:t xml:space="preserve"> Site 758 and ODP Site 999 for the Pleistocene and Pliocene samples and ODP Site 926 and Site 761 for the Miocene</w:t>
      </w:r>
      <w:r w:rsidR="00321545">
        <w:t xml:space="preserve"> (Fig. 4)</w:t>
      </w:r>
      <w:r w:rsidR="0060378F">
        <w:t xml:space="preserve"> (this study; </w:t>
      </w:r>
      <w:r w:rsidR="009931F8">
        <w:t xml:space="preserve">Foster et al., 2012; </w:t>
      </w:r>
      <w:r w:rsidR="00E72588" w:rsidRPr="00C811ED">
        <w:rPr>
          <w:noProof/>
        </w:rPr>
        <w:t>Martìnez-Botì</w:t>
      </w:r>
      <w:r w:rsidR="00E72588" w:rsidRPr="00C811ED">
        <w:t xml:space="preserve"> </w:t>
      </w:r>
      <w:r w:rsidR="0060378F">
        <w:t>et al., 2015</w:t>
      </w:r>
      <w:r w:rsidR="008727BF">
        <w:t>a</w:t>
      </w:r>
      <w:r w:rsidR="0060378F">
        <w:t xml:space="preserve">, </w:t>
      </w:r>
      <w:r w:rsidR="00BD6C65">
        <w:t xml:space="preserve">and a follow up study by </w:t>
      </w:r>
      <w:r w:rsidR="0060378F">
        <w:t>Sosdian et al.,)</w:t>
      </w:r>
      <w:r>
        <w:t xml:space="preserve">. We also incorporate the middle Miocene planktic-benthic pair from Site 761 in </w:t>
      </w:r>
      <w:r>
        <w:rPr>
          <w:noProof/>
        </w:rPr>
        <w:t>Foster et al. (2012)</w:t>
      </w:r>
      <w:r>
        <w:t xml:space="preserve">. </w:t>
      </w:r>
      <w:r w:rsidR="005A4F65">
        <w:t>To place all data from all sites</w:t>
      </w:r>
      <w:r w:rsidR="00460FDB">
        <w:t xml:space="preserve"> on a single age model </w:t>
      </w:r>
      <w:r w:rsidR="005A4F65">
        <w:t>we use the nanno and planktic foraminifera stratigraphy from sites</w:t>
      </w:r>
      <w:r>
        <w:t xml:space="preserve"> 999</w:t>
      </w:r>
      <w:r w:rsidR="00460FDB">
        <w:t>,</w:t>
      </w:r>
      <w:r>
        <w:t xml:space="preserve"> 926</w:t>
      </w:r>
      <w:r w:rsidR="00460FDB">
        <w:t xml:space="preserve"> and 761 </w:t>
      </w:r>
      <w:r w:rsidR="00DF48EC">
        <w:t>(Shipboard Scientific Party, 1997</w:t>
      </w:r>
      <w:r w:rsidR="009D1BB4">
        <w:t xml:space="preserve">; </w:t>
      </w:r>
      <w:r w:rsidR="00DF48EC" w:rsidRPr="00945911">
        <w:rPr>
          <w:rFonts w:ascii="Times New Roman" w:hAnsi="Times New Roman"/>
        </w:rPr>
        <w:t>Shipboard Scientific Party, 1995</w:t>
      </w:r>
      <w:r w:rsidR="00DF48EC">
        <w:rPr>
          <w:rFonts w:ascii="Times New Roman" w:hAnsi="Times New Roman"/>
        </w:rPr>
        <w:t>; Zeeden et al., 2013</w:t>
      </w:r>
      <w:r w:rsidR="009D1BB4">
        <w:t xml:space="preserve">; </w:t>
      </w:r>
      <w:r w:rsidR="00DF48EC">
        <w:rPr>
          <w:noProof/>
        </w:rPr>
        <w:t xml:space="preserve">Holbourn et al., </w:t>
      </w:r>
      <w:r w:rsidR="00460FDB">
        <w:rPr>
          <w:noProof/>
        </w:rPr>
        <w:t xml:space="preserve">2004) </w:t>
      </w:r>
      <w:r w:rsidR="00460FDB">
        <w:t>updated to GTS2012</w:t>
      </w:r>
      <w:r w:rsidR="00695593">
        <w:t xml:space="preserve"> (Gradstein et al., 2012)</w:t>
      </w:r>
      <w:r w:rsidR="00460FDB">
        <w:t xml:space="preserve">. At Site 758 the magnetostratigraphy </w:t>
      </w:r>
      <w:r w:rsidR="00DF48EC">
        <w:t xml:space="preserve">(Shipboard Scientific Party, 1989) </w:t>
      </w:r>
      <w:r w:rsidR="00460FDB">
        <w:t>is used and updated to GTS2012</w:t>
      </w:r>
      <w:r w:rsidR="00695593">
        <w:t xml:space="preserve"> (Gradstein et al., 2012)</w:t>
      </w:r>
      <w:r w:rsidR="00460FDB">
        <w:t>.</w:t>
      </w:r>
      <w:r>
        <w:t xml:space="preserve"> </w:t>
      </w:r>
    </w:p>
    <w:p w14:paraId="107AA538" w14:textId="548C345A" w:rsidR="00961950" w:rsidRDefault="00961950">
      <w:pPr>
        <w:pStyle w:val="Heading3"/>
        <w:numPr>
          <w:ilvl w:val="1"/>
          <w:numId w:val="28"/>
        </w:numPr>
      </w:pPr>
      <w:bookmarkStart w:id="5" w:name="_Toc287775650"/>
      <w:r>
        <w:t>Boron Isotope Analysis and pH Calculation</w:t>
      </w:r>
      <w:bookmarkEnd w:id="5"/>
      <w:r>
        <w:t xml:space="preserve"> </w:t>
      </w:r>
    </w:p>
    <w:p w14:paraId="5F1F7B70" w14:textId="0D49AEB6" w:rsidR="00BE0A58" w:rsidRPr="008D3D33" w:rsidRDefault="00961950">
      <w:r>
        <w:t>The b</w:t>
      </w:r>
      <w:r w:rsidRPr="00D81C45">
        <w:t>oron isotope measurements (</w:t>
      </w:r>
      <w:r w:rsidR="00060B70">
        <w:t>expressed</w:t>
      </w:r>
      <w:r w:rsidRPr="00D81C45">
        <w:t xml:space="preserve"> in delta notation as </w:t>
      </w:r>
      <w:r w:rsidRPr="00D81C45">
        <w:rPr>
          <w:rFonts w:ascii="Times New Roman" w:hAnsi="Times New Roman"/>
        </w:rPr>
        <w:t>δ</w:t>
      </w:r>
      <w:r w:rsidRPr="00D81C45">
        <w:rPr>
          <w:vertAlign w:val="superscript"/>
        </w:rPr>
        <w:t>11</w:t>
      </w:r>
      <w:r w:rsidRPr="00D81C45">
        <w:t>B – permil variation</w:t>
      </w:r>
      <w:r>
        <w:t>)</w:t>
      </w:r>
      <w:r w:rsidRPr="00D81C45">
        <w:t xml:space="preserve"> </w:t>
      </w:r>
      <w:r>
        <w:t>were made relative to the</w:t>
      </w:r>
      <w:r w:rsidRPr="00D81C45">
        <w:t xml:space="preserve"> boric acid standard SRM 951;</w:t>
      </w:r>
      <w:r>
        <w:t xml:space="preserve"> </w:t>
      </w:r>
      <w:r>
        <w:rPr>
          <w:noProof/>
        </w:rPr>
        <w:t>(Catanzaro et al., 1970)</w:t>
      </w:r>
      <w:r>
        <w:t xml:space="preserve">. </w:t>
      </w:r>
      <w:r w:rsidRPr="00D81C45">
        <w:t>Boron was first separated from the Ca matrix prior to analysis using the boron specific resin Amberlite IRA 743 following</w:t>
      </w:r>
      <w:r>
        <w:t xml:space="preserve"> </w:t>
      </w:r>
      <w:r w:rsidR="003637BE">
        <w:rPr>
          <w:noProof/>
        </w:rPr>
        <w:t>Foster et al.</w:t>
      </w:r>
      <w:r>
        <w:rPr>
          <w:noProof/>
        </w:rPr>
        <w:t xml:space="preserve"> </w:t>
      </w:r>
      <w:r w:rsidR="003637BE">
        <w:rPr>
          <w:noProof/>
        </w:rPr>
        <w:t>(</w:t>
      </w:r>
      <w:r>
        <w:rPr>
          <w:noProof/>
        </w:rPr>
        <w:t>2013)</w:t>
      </w:r>
      <w:r>
        <w:t xml:space="preserve">. </w:t>
      </w:r>
      <w:r w:rsidRPr="00D81C45">
        <w:rPr>
          <w:lang w:val="en-US"/>
        </w:rPr>
        <w:t xml:space="preserve">The boron </w:t>
      </w:r>
      <w:r w:rsidR="007048D4" w:rsidRPr="00D81C45">
        <w:rPr>
          <w:lang w:val="en-US"/>
        </w:rPr>
        <w:t>isotop</w:t>
      </w:r>
      <w:r w:rsidR="007048D4">
        <w:rPr>
          <w:lang w:val="en-US"/>
        </w:rPr>
        <w:t>e</w:t>
      </w:r>
      <w:r w:rsidR="007048D4" w:rsidRPr="00D81C45">
        <w:rPr>
          <w:lang w:val="en-US"/>
        </w:rPr>
        <w:t xml:space="preserve"> </w:t>
      </w:r>
      <w:r w:rsidRPr="00D81C45">
        <w:rPr>
          <w:lang w:val="en-US"/>
        </w:rPr>
        <w:t>composition was then determined using a sample-standard bracketing routine on a ThermoFisher Scientific Neptune multicollector inductively coupled plasma mass spectrometer (MC-ICPMS) at the University of Southampton (following</w:t>
      </w:r>
      <w:r>
        <w:rPr>
          <w:lang w:val="en-US"/>
        </w:rPr>
        <w:t xml:space="preserve"> </w:t>
      </w:r>
      <w:r w:rsidR="002E4DCB">
        <w:rPr>
          <w:noProof/>
        </w:rPr>
        <w:t>Foster et al.,</w:t>
      </w:r>
      <w:r>
        <w:rPr>
          <w:noProof/>
        </w:rPr>
        <w:t xml:space="preserve"> 2013)</w:t>
      </w:r>
      <w:r w:rsidRPr="00D81C45">
        <w:rPr>
          <w:lang w:val="en-US"/>
        </w:rPr>
        <w:t>.</w:t>
      </w:r>
      <w:r w:rsidRPr="00D81C45">
        <w:t xml:space="preserve"> </w:t>
      </w:r>
      <w:r w:rsidR="00BE0A58">
        <w:t>The</w:t>
      </w:r>
      <w:r w:rsidR="008605EF">
        <w:t xml:space="preserve"> relationship between</w:t>
      </w:r>
      <w:r w:rsidR="00BE0A58">
        <w:t xml:space="preserve"> δ</w:t>
      </w:r>
      <w:r w:rsidR="00BE0A58">
        <w:rPr>
          <w:vertAlign w:val="superscript"/>
        </w:rPr>
        <w:t>11</w:t>
      </w:r>
      <w:r w:rsidR="00BE0A58">
        <w:t xml:space="preserve">B of </w:t>
      </w:r>
      <w:r w:rsidR="00CD4B3D">
        <w:t>CaCO</w:t>
      </w:r>
      <w:r w:rsidR="00CD4B3D">
        <w:rPr>
          <w:vertAlign w:val="subscript"/>
        </w:rPr>
        <w:t>3</w:t>
      </w:r>
      <w:r w:rsidR="00BE0A58">
        <w:rPr>
          <w:vertAlign w:val="superscript"/>
        </w:rPr>
        <w:t xml:space="preserve"> </w:t>
      </w:r>
      <w:r w:rsidR="008605EF">
        <w:t>and</w:t>
      </w:r>
      <w:r w:rsidR="00BE0A58">
        <w:t xml:space="preserve"> pH </w:t>
      </w:r>
      <w:r w:rsidR="008605EF">
        <w:t>is very closely</w:t>
      </w:r>
      <w:r w:rsidR="00BE0A58">
        <w:t xml:space="preserve"> </w:t>
      </w:r>
      <w:r w:rsidR="008605EF">
        <w:t xml:space="preserve">approximated by the </w:t>
      </w:r>
      <w:r w:rsidR="00BE0A58">
        <w:t>following equation:</w:t>
      </w:r>
    </w:p>
    <w:p w14:paraId="55CF69A7" w14:textId="18281888" w:rsidR="00BE0A58" w:rsidRPr="00A42D4B" w:rsidRDefault="00BE0A58">
      <m:oMathPara>
        <m:oMath>
          <m:r>
            <w:rPr>
              <w:rFonts w:ascii="Cambria Math" w:hAnsi="Cambria Math"/>
            </w:rPr>
            <m:t>pH=p</m:t>
          </m:r>
          <m:sSubSup>
            <m:sSubSupPr>
              <m:ctrlPr>
                <w:rPr>
                  <w:rFonts w:ascii="Cambria Math" w:hAnsi="Cambria Math"/>
                  <w:i/>
                </w:rPr>
              </m:ctrlPr>
            </m:sSubSupPr>
            <m:e>
              <m:r>
                <w:rPr>
                  <w:rFonts w:ascii="Cambria Math" w:hAnsi="Cambria Math"/>
                </w:rPr>
                <m:t>K</m:t>
              </m:r>
            </m:e>
            <m:sub>
              <m:r>
                <w:rPr>
                  <w:rFonts w:ascii="Cambria Math" w:hAnsi="Cambria Math"/>
                </w:rPr>
                <m:t>B</m:t>
              </m:r>
            </m:sub>
            <m:sup>
              <m:r>
                <w:rPr>
                  <w:rFonts w:ascii="Cambria Math" w:hAnsi="Cambria Math"/>
                </w:rPr>
                <m:t>*</m:t>
              </m:r>
            </m:sup>
          </m:sSubSup>
          <m: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 xml:space="preserve"> </m:t>
              </m:r>
            </m:e>
          </m:func>
          <m:d>
            <m:dPr>
              <m:ctrlPr>
                <w:rPr>
                  <w:rFonts w:ascii="Cambria Math" w:hAnsi="Cambria Math"/>
                  <w:i/>
                </w:rPr>
              </m:ctrlPr>
            </m:dPr>
            <m:e>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δ</m:t>
                      </m:r>
                    </m:e>
                    <m:sup>
                      <m:r>
                        <w:rPr>
                          <w:rFonts w:ascii="Cambria Math" w:hAnsi="Cambria Math"/>
                        </w:rPr>
                        <m:t>11</m:t>
                      </m:r>
                    </m:sup>
                  </m:sSup>
                  <m:sSub>
                    <m:sSubPr>
                      <m:ctrlPr>
                        <w:rPr>
                          <w:rFonts w:ascii="Cambria Math" w:hAnsi="Cambria Math"/>
                          <w:i/>
                        </w:rPr>
                      </m:ctrlPr>
                    </m:sSubPr>
                    <m:e>
                      <m:r>
                        <w:rPr>
                          <w:rFonts w:ascii="Cambria Math" w:hAnsi="Cambria Math"/>
                        </w:rPr>
                        <m:t>B</m:t>
                      </m:r>
                    </m:e>
                    <m:sub>
                      <m:r>
                        <w:rPr>
                          <w:rFonts w:ascii="Cambria Math" w:hAnsi="Cambria Math"/>
                        </w:rPr>
                        <m:t>SW</m:t>
                      </m:r>
                    </m:sub>
                  </m:sSub>
                  <m:r>
                    <w:rPr>
                      <w:rFonts w:ascii="Cambria Math" w:hAnsi="Cambria Math"/>
                    </w:rPr>
                    <m:t xml:space="preserve">- </m:t>
                  </m:r>
                  <m:sSup>
                    <m:sSupPr>
                      <m:ctrlPr>
                        <w:rPr>
                          <w:rFonts w:ascii="Cambria Math" w:hAnsi="Cambria Math"/>
                          <w:i/>
                        </w:rPr>
                      </m:ctrlPr>
                    </m:sSupPr>
                    <m:e>
                      <m:r>
                        <w:rPr>
                          <w:rFonts w:ascii="Cambria Math" w:hAnsi="Cambria Math"/>
                        </w:rPr>
                        <m:t>δ</m:t>
                      </m:r>
                    </m:e>
                    <m:sup>
                      <m:r>
                        <w:rPr>
                          <w:rFonts w:ascii="Cambria Math" w:hAnsi="Cambria Math"/>
                        </w:rPr>
                        <m:t>11</m:t>
                      </m:r>
                    </m:sup>
                  </m:sSup>
                  <m:sSub>
                    <m:sSubPr>
                      <m:ctrlPr>
                        <w:rPr>
                          <w:rFonts w:ascii="Cambria Math" w:hAnsi="Cambria Math"/>
                          <w:i/>
                        </w:rPr>
                      </m:ctrlPr>
                    </m:sSubPr>
                    <m:e>
                      <m:r>
                        <w:rPr>
                          <w:rFonts w:ascii="Cambria Math" w:hAnsi="Cambria Math"/>
                        </w:rPr>
                        <m:t>B</m:t>
                      </m:r>
                    </m:e>
                    <m:sub>
                      <m:r>
                        <w:rPr>
                          <w:rFonts w:ascii="Cambria Math" w:hAnsi="Cambria Math"/>
                        </w:rPr>
                        <m:t>CaC</m:t>
                      </m:r>
                      <m:sSub>
                        <m:sSubPr>
                          <m:ctrlPr>
                            <w:rPr>
                              <w:rFonts w:ascii="Cambria Math" w:hAnsi="Cambria Math"/>
                              <w:i/>
                            </w:rPr>
                          </m:ctrlPr>
                        </m:sSubPr>
                        <m:e>
                          <m:r>
                            <w:rPr>
                              <w:rFonts w:ascii="Cambria Math" w:hAnsi="Cambria Math"/>
                            </w:rPr>
                            <m:t>O</m:t>
                          </m:r>
                        </m:e>
                        <m:sub>
                          <m:r>
                            <w:rPr>
                              <w:rFonts w:ascii="Cambria Math" w:hAnsi="Cambria Math"/>
                            </w:rPr>
                            <m:t>3</m:t>
                          </m:r>
                        </m:sub>
                      </m:sSub>
                    </m:sub>
                  </m:sSub>
                </m:num>
                <m:den>
                  <m:sSup>
                    <m:sSupPr>
                      <m:ctrlPr>
                        <w:rPr>
                          <w:rFonts w:ascii="Cambria Math" w:hAnsi="Cambria Math"/>
                          <w:i/>
                        </w:rPr>
                      </m:ctrlPr>
                    </m:sSupPr>
                    <m:e>
                      <m:r>
                        <w:rPr>
                          <w:rFonts w:ascii="Cambria Math" w:hAnsi="Cambria Math"/>
                        </w:rPr>
                        <m:t>δ</m:t>
                      </m:r>
                    </m:e>
                    <m:sup>
                      <m:r>
                        <w:rPr>
                          <w:rFonts w:ascii="Cambria Math" w:hAnsi="Cambria Math"/>
                        </w:rPr>
                        <m:t>11</m:t>
                      </m:r>
                    </m:sup>
                  </m:sSup>
                  <m:sSub>
                    <m:sSubPr>
                      <m:ctrlPr>
                        <w:rPr>
                          <w:rFonts w:ascii="Cambria Math" w:hAnsi="Cambria Math"/>
                          <w:i/>
                        </w:rPr>
                      </m:ctrlPr>
                    </m:sSubPr>
                    <m:e>
                      <m:r>
                        <w:rPr>
                          <w:rFonts w:ascii="Cambria Math" w:hAnsi="Cambria Math"/>
                        </w:rPr>
                        <m:t>B</m:t>
                      </m:r>
                    </m:e>
                    <m:sub>
                      <m:r>
                        <w:rPr>
                          <w:rFonts w:ascii="Cambria Math" w:hAnsi="Cambria Math"/>
                        </w:rPr>
                        <m:t>SW</m:t>
                      </m:r>
                    </m:sub>
                  </m:sSub>
                  <m:r>
                    <w:rPr>
                      <w:rFonts w:ascii="Cambria Math" w:hAnsi="Cambria Math"/>
                    </w:rPr>
                    <m:t xml:space="preserve">- </m:t>
                  </m:r>
                  <m:sSub>
                    <m:sSubPr>
                      <m:ctrlPr>
                        <w:rPr>
                          <w:rFonts w:ascii="Cambria Math" w:hAnsi="Cambria Math"/>
                          <w:i/>
                        </w:rPr>
                      </m:ctrlPr>
                    </m:sSubPr>
                    <m:e>
                      <m:r>
                        <w:rPr>
                          <w:rFonts w:ascii="Cambria Math" w:hAnsi="Cambria Math"/>
                        </w:rPr>
                        <m:t>∝</m:t>
                      </m:r>
                    </m:e>
                    <m:sub>
                      <m:r>
                        <w:rPr>
                          <w:rFonts w:ascii="Cambria Math" w:hAnsi="Cambria Math"/>
                        </w:rPr>
                        <m:t>B</m:t>
                      </m:r>
                    </m:sub>
                  </m:sSub>
                  <m:r>
                    <w:rPr>
                      <w:rFonts w:ascii="Cambria Math" w:hAnsi="Cambria Math"/>
                    </w:rPr>
                    <m:t xml:space="preserve">. </m:t>
                  </m:r>
                  <m:sSup>
                    <m:sSupPr>
                      <m:ctrlPr>
                        <w:rPr>
                          <w:rFonts w:ascii="Cambria Math" w:hAnsi="Cambria Math"/>
                          <w:i/>
                        </w:rPr>
                      </m:ctrlPr>
                    </m:sSupPr>
                    <m:e>
                      <m:r>
                        <w:rPr>
                          <w:rFonts w:ascii="Cambria Math" w:hAnsi="Cambria Math"/>
                        </w:rPr>
                        <m:t>δ</m:t>
                      </m:r>
                    </m:e>
                    <m:sup>
                      <m:r>
                        <w:rPr>
                          <w:rFonts w:ascii="Cambria Math" w:hAnsi="Cambria Math"/>
                        </w:rPr>
                        <m:t>11</m:t>
                      </m:r>
                    </m:sup>
                  </m:sSup>
                  <m:sSub>
                    <m:sSubPr>
                      <m:ctrlPr>
                        <w:rPr>
                          <w:rFonts w:ascii="Cambria Math" w:hAnsi="Cambria Math"/>
                          <w:i/>
                        </w:rPr>
                      </m:ctrlPr>
                    </m:sSubPr>
                    <m:e>
                      <m:r>
                        <w:rPr>
                          <w:rFonts w:ascii="Cambria Math" w:hAnsi="Cambria Math"/>
                        </w:rPr>
                        <m:t>B</m:t>
                      </m:r>
                    </m:e>
                    <m:sub>
                      <m:r>
                        <w:rPr>
                          <w:rFonts w:ascii="Cambria Math" w:hAnsi="Cambria Math"/>
                        </w:rPr>
                        <m:t>CaC</m:t>
                      </m:r>
                      <m:sSub>
                        <m:sSubPr>
                          <m:ctrlPr>
                            <w:rPr>
                              <w:rFonts w:ascii="Cambria Math" w:hAnsi="Cambria Math"/>
                              <w:i/>
                            </w:rPr>
                          </m:ctrlPr>
                        </m:sSubPr>
                        <m:e>
                          <m:r>
                            <w:rPr>
                              <w:rFonts w:ascii="Cambria Math" w:hAnsi="Cambria Math"/>
                            </w:rPr>
                            <m:t>O</m:t>
                          </m:r>
                        </m:e>
                        <m:sub>
                          <m:r>
                            <w:rPr>
                              <w:rFonts w:ascii="Cambria Math" w:hAnsi="Cambria Math"/>
                            </w:rPr>
                            <m:t>3</m:t>
                          </m:r>
                        </m:sub>
                      </m:sSub>
                    </m:sub>
                  </m:sSub>
                  <m:r>
                    <w:rPr>
                      <w:rFonts w:ascii="Cambria Math" w:hAnsi="Cambria Math"/>
                    </w:rPr>
                    <m:t xml:space="preserve">-1000 . </m:t>
                  </m:r>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B</m:t>
                          </m:r>
                        </m:sub>
                      </m:sSub>
                      <m:r>
                        <w:rPr>
                          <w:rFonts w:ascii="Cambria Math" w:hAnsi="Cambria Math"/>
                        </w:rPr>
                        <m:t>-1</m:t>
                      </m:r>
                    </m:e>
                  </m:d>
                </m:den>
              </m:f>
            </m:e>
          </m:d>
          <m:r>
            <w:rPr>
              <w:rFonts w:ascii="Cambria Math" w:hAnsi="Cambria Math"/>
            </w:rPr>
            <m:t xml:space="preserve">          (1)</m:t>
          </m:r>
        </m:oMath>
      </m:oMathPara>
    </w:p>
    <w:p w14:paraId="70166BA9" w14:textId="77777777" w:rsidR="00BE0A58" w:rsidRDefault="00BE0A58"/>
    <w:p w14:paraId="1AEBFD34" w14:textId="77777777" w:rsidR="00EC2D26" w:rsidRDefault="00BE0A58" w:rsidP="00CE1586">
      <w:pPr>
        <w:widowControl w:val="0"/>
        <w:autoSpaceDE w:val="0"/>
        <w:autoSpaceDN w:val="0"/>
        <w:adjustRightInd w:val="0"/>
        <w:spacing w:after="240"/>
      </w:pPr>
      <w:r w:rsidRPr="00E72588">
        <w:t xml:space="preserve">Where </w:t>
      </w:r>
      <m:oMath>
        <m:r>
          <w:rPr>
            <w:rFonts w:ascii="Cambria Math" w:hAnsi="Cambria Math"/>
          </w:rPr>
          <m:t>p</m:t>
        </m:r>
        <m:sSubSup>
          <m:sSubSupPr>
            <m:ctrlPr>
              <w:rPr>
                <w:rFonts w:ascii="Cambria Math" w:hAnsi="Cambria Math"/>
                <w:i/>
              </w:rPr>
            </m:ctrlPr>
          </m:sSubSupPr>
          <m:e>
            <m:r>
              <w:rPr>
                <w:rFonts w:ascii="Cambria Math" w:hAnsi="Cambria Math"/>
              </w:rPr>
              <m:t>K</m:t>
            </m:r>
          </m:e>
          <m:sub>
            <m:r>
              <w:rPr>
                <w:rFonts w:ascii="Cambria Math" w:hAnsi="Cambria Math"/>
              </w:rPr>
              <m:t>B</m:t>
            </m:r>
          </m:sub>
          <m:sup>
            <m:r>
              <w:rPr>
                <w:rFonts w:ascii="Cambria Math" w:hAnsi="Cambria Math"/>
              </w:rPr>
              <m:t>*</m:t>
            </m:r>
          </m:sup>
        </m:sSubSup>
      </m:oMath>
      <w:r w:rsidRPr="00E72588">
        <w:t xml:space="preserve"> is the equilibrium</w:t>
      </w:r>
      <w:r w:rsidR="00BB1F84" w:rsidRPr="00E72588">
        <w:t xml:space="preserve"> constant, dependent on salinity, temperature</w:t>
      </w:r>
      <w:r w:rsidR="005E54C7" w:rsidRPr="00E72588">
        <w:t>, pressure and seawater major ion composition (i.e., [Ca] and [Mg]),</w:t>
      </w:r>
      <w:r w:rsidR="00BB1F84" w:rsidRPr="00E72588">
        <w:t xml:space="preserve"> </w:t>
      </w:r>
      <m:oMath>
        <m:sSub>
          <m:sSubPr>
            <m:ctrlPr>
              <w:rPr>
                <w:rFonts w:ascii="Cambria Math" w:hAnsi="Cambria Math"/>
                <w:i/>
              </w:rPr>
            </m:ctrlPr>
          </m:sSubPr>
          <m:e>
            <m:r>
              <w:rPr>
                <w:rFonts w:ascii="Cambria Math" w:hAnsi="Cambria Math"/>
              </w:rPr>
              <m:t>∝</m:t>
            </m:r>
          </m:e>
          <m:sub>
            <m:r>
              <w:rPr>
                <w:rFonts w:ascii="Cambria Math" w:hAnsi="Cambria Math"/>
              </w:rPr>
              <m:t>B</m:t>
            </m:r>
          </m:sub>
        </m:sSub>
      </m:oMath>
      <w:r w:rsidR="00BB1F84" w:rsidRPr="00E72588">
        <w:t xml:space="preserve"> is the fractionation factor between the two boron species and </w:t>
      </w:r>
      <w:r w:rsidR="00BB1F84" w:rsidRPr="00E72588">
        <w:rPr>
          <w:color w:val="000000"/>
        </w:rPr>
        <w:t>δ</w:t>
      </w:r>
      <w:r w:rsidR="00BB1F84" w:rsidRPr="00E72588">
        <w:rPr>
          <w:color w:val="000000"/>
          <w:vertAlign w:val="superscript"/>
        </w:rPr>
        <w:t>11</w:t>
      </w:r>
      <w:r w:rsidR="00BB1F84" w:rsidRPr="00E72588">
        <w:rPr>
          <w:color w:val="000000"/>
        </w:rPr>
        <w:t>B</w:t>
      </w:r>
      <w:r w:rsidR="00BB1F84" w:rsidRPr="00E72588">
        <w:rPr>
          <w:color w:val="000000"/>
          <w:vertAlign w:val="subscript"/>
        </w:rPr>
        <w:t>sw</w:t>
      </w:r>
      <w:r w:rsidR="00BB1F84" w:rsidRPr="00E72588">
        <w:rPr>
          <w:color w:val="000000"/>
        </w:rPr>
        <w:t xml:space="preserve"> is the boron isotope composition of seawater. </w:t>
      </w:r>
      <w:r w:rsidR="00E72588" w:rsidRPr="00E72588">
        <w:t xml:space="preserve">Here we use the fractionation factor of 1.0272, calculated from spectrophotometric measurements </w:t>
      </w:r>
      <w:r w:rsidR="00E72588" w:rsidRPr="00E72588">
        <w:rPr>
          <w:noProof/>
        </w:rPr>
        <w:t>(Klochko et al., 2006)</w:t>
      </w:r>
      <w:r w:rsidR="00E72588" w:rsidRPr="00E72588">
        <w:t xml:space="preserve">.  No temperature correction was applied as a number of recent studies suggest that it is not significant over our investigated temperature </w:t>
      </w:r>
      <w:r w:rsidR="00E72588" w:rsidRPr="00A32BE2">
        <w:t>range (Rae et al. 2011; Henehan et al</w:t>
      </w:r>
      <w:r w:rsidR="004149F8" w:rsidRPr="00A32BE2">
        <w:t xml:space="preserve">., </w:t>
      </w:r>
      <w:r w:rsidR="00E72588" w:rsidRPr="00A32BE2">
        <w:t xml:space="preserve">2013; </w:t>
      </w:r>
      <w:r w:rsidR="00A32BE2" w:rsidRPr="00A32BE2">
        <w:rPr>
          <w:rFonts w:ascii="Times New Roman" w:hAnsi="Times New Roman"/>
        </w:rPr>
        <w:t>Martínez-Botí</w:t>
      </w:r>
      <w:r w:rsidR="00A32BE2" w:rsidRPr="00A32BE2" w:rsidDel="00A32BE2">
        <w:rPr>
          <w:noProof/>
        </w:rPr>
        <w:t xml:space="preserve"> </w:t>
      </w:r>
      <w:r w:rsidR="00E72588" w:rsidRPr="00A32BE2">
        <w:rPr>
          <w:rFonts w:eastAsiaTheme="minorEastAsia" w:cs="Helvetica"/>
          <w:lang w:val="en-US" w:eastAsia="ja-JP"/>
        </w:rPr>
        <w:t>et al. (2015b); Kaczmarek et al. 2016</w:t>
      </w:r>
      <w:r w:rsidR="00E72588" w:rsidRPr="00A32BE2">
        <w:t xml:space="preserve">). </w:t>
      </w:r>
      <w:r w:rsidRPr="00A32BE2">
        <w:t xml:space="preserve"> </w:t>
      </w:r>
    </w:p>
    <w:p w14:paraId="4C211D59" w14:textId="6A5D79F2" w:rsidR="00961950" w:rsidRPr="00CE1586" w:rsidRDefault="00BE0A58" w:rsidP="00CE1586">
      <w:pPr>
        <w:widowControl w:val="0"/>
        <w:autoSpaceDE w:val="0"/>
        <w:autoSpaceDN w:val="0"/>
        <w:adjustRightInd w:val="0"/>
        <w:spacing w:after="240"/>
        <w:rPr>
          <w:rFonts w:eastAsiaTheme="minorEastAsia" w:cs="Times"/>
          <w:lang w:val="en-US" w:eastAsia="ja-JP"/>
        </w:rPr>
      </w:pPr>
      <w:r w:rsidRPr="00A32BE2">
        <w:t>Although the δ</w:t>
      </w:r>
      <w:r w:rsidRPr="00A32BE2">
        <w:rPr>
          <w:vertAlign w:val="superscript"/>
        </w:rPr>
        <w:t>11</w:t>
      </w:r>
      <w:r w:rsidRPr="00A32BE2">
        <w:t>B of foraminifera correlates well with pH and</w:t>
      </w:r>
      <w:r w:rsidR="00AD6327" w:rsidRPr="00A32BE2">
        <w:t xml:space="preserve"> hence</w:t>
      </w:r>
      <w:r w:rsidRPr="00A32BE2">
        <w:t xml:space="preserve"> [CO</w:t>
      </w:r>
      <w:r w:rsidRPr="00A32BE2">
        <w:rPr>
          <w:vertAlign w:val="subscript"/>
        </w:rPr>
        <w:t>2</w:t>
      </w:r>
      <w:r w:rsidRPr="00A32BE2">
        <w:t>]</w:t>
      </w:r>
      <w:r w:rsidRPr="00A32BE2">
        <w:rPr>
          <w:vertAlign w:val="subscript"/>
        </w:rPr>
        <w:t>aq</w:t>
      </w:r>
      <w:r w:rsidRPr="00A32BE2">
        <w:t xml:space="preserve">, the </w:t>
      </w:r>
      <w:r w:rsidRPr="00A32BE2">
        <w:rPr>
          <w:rFonts w:hint="eastAsia"/>
        </w:rPr>
        <w:t>δ</w:t>
      </w:r>
      <w:r w:rsidRPr="00A32BE2">
        <w:rPr>
          <w:vertAlign w:val="superscript"/>
        </w:rPr>
        <w:t>11</w:t>
      </w:r>
      <w:r w:rsidRPr="00A32BE2">
        <w:t>B</w:t>
      </w:r>
      <w:r w:rsidRPr="00A32BE2">
        <w:rPr>
          <w:vertAlign w:val="subscript"/>
        </w:rPr>
        <w:t>calcite</w:t>
      </w:r>
      <w:r w:rsidRPr="00A32BE2">
        <w:t xml:space="preserve"> is often not exactly equal to </w:t>
      </w:r>
      <w:r w:rsidRPr="00A32BE2">
        <w:rPr>
          <w:rFonts w:hint="eastAsia"/>
        </w:rPr>
        <w:t>δ</w:t>
      </w:r>
      <w:r w:rsidRPr="00A32BE2">
        <w:rPr>
          <w:vertAlign w:val="superscript"/>
        </w:rPr>
        <w:t>11</w:t>
      </w:r>
      <w:r w:rsidRPr="00A32BE2">
        <w:t>B</w:t>
      </w:r>
      <w:r w:rsidRPr="00A32BE2">
        <w:rPr>
          <w:vertAlign w:val="subscript"/>
        </w:rPr>
        <w:t xml:space="preserve">borate </w:t>
      </w:r>
      <w:r w:rsidRPr="00A32BE2">
        <w:rPr>
          <w:noProof/>
        </w:rPr>
        <w:t>(Sanyal et al., 2001;</w:t>
      </w:r>
      <w:r w:rsidRPr="00E72588">
        <w:rPr>
          <w:noProof/>
        </w:rPr>
        <w:t xml:space="preserve"> Foster, 2008; Henehan et al., 2013)</w:t>
      </w:r>
      <w:r w:rsidRPr="00E72588">
        <w:t>.</w:t>
      </w:r>
      <w:r w:rsidR="00BB1F84" w:rsidRPr="00E72588">
        <w:t xml:space="preserve"> </w:t>
      </w:r>
      <w:r w:rsidR="00961950" w:rsidRPr="00E72588">
        <w:t>The planktic species used to construct the benthic-planktic pairs changes through time, as a single species is not available for the entire Neogene</w:t>
      </w:r>
      <w:r w:rsidR="00460FDB" w:rsidRPr="00E72588">
        <w:t xml:space="preserve"> </w:t>
      </w:r>
      <w:r w:rsidR="00A37CEB" w:rsidRPr="00E72588">
        <w:t>(</w:t>
      </w:r>
      <w:r w:rsidR="005E54C7" w:rsidRPr="00E72588">
        <w:t xml:space="preserve">this study; </w:t>
      </w:r>
      <w:r w:rsidR="008727BF" w:rsidRPr="00E72588">
        <w:t xml:space="preserve">Foster et al., 2012; </w:t>
      </w:r>
      <w:r w:rsidR="00442EC4" w:rsidRPr="00E72588">
        <w:rPr>
          <w:noProof/>
        </w:rPr>
        <w:t>Martìnez-Botì</w:t>
      </w:r>
      <w:r w:rsidR="00442EC4" w:rsidRPr="00E72588">
        <w:t xml:space="preserve"> </w:t>
      </w:r>
      <w:r w:rsidR="00EE6940" w:rsidRPr="00E72588">
        <w:t>et al., 2015</w:t>
      </w:r>
      <w:r w:rsidR="00442EC4" w:rsidRPr="00E72588">
        <w:t>a</w:t>
      </w:r>
      <w:r w:rsidR="00EE6940" w:rsidRPr="00E72588">
        <w:t>,</w:t>
      </w:r>
      <w:r w:rsidR="00BD6C65">
        <w:t xml:space="preserve"> and a follow up study by Sosdian et al.</w:t>
      </w:r>
      <w:r w:rsidR="00961950" w:rsidRPr="00E72588">
        <w:t>).</w:t>
      </w:r>
      <w:r w:rsidRPr="00E72588">
        <w:t xml:space="preserve"> </w:t>
      </w:r>
      <w:r w:rsidR="00D1065A" w:rsidRPr="00E72588">
        <w:t xml:space="preserve">Here </w:t>
      </w:r>
      <w:r w:rsidR="00D1065A" w:rsidRPr="00E72588">
        <w:rPr>
          <w:i/>
        </w:rPr>
        <w:t>G</w:t>
      </w:r>
      <w:r w:rsidR="003637BE" w:rsidRPr="00E72588">
        <w:rPr>
          <w:i/>
        </w:rPr>
        <w:t>lobigerinoides</w:t>
      </w:r>
      <w:r w:rsidR="00D1065A" w:rsidRPr="00E72588">
        <w:rPr>
          <w:i/>
        </w:rPr>
        <w:t xml:space="preserve"> ruber</w:t>
      </w:r>
      <w:r w:rsidR="00D1065A" w:rsidRPr="00E72588">
        <w:t xml:space="preserve"> is used for 0 to 3 Ma, </w:t>
      </w:r>
      <w:r w:rsidR="003637BE" w:rsidRPr="00E72588">
        <w:rPr>
          <w:rStyle w:val="Emphasis"/>
        </w:rPr>
        <w:t>Trilobatus</w:t>
      </w:r>
      <w:r w:rsidR="00D1065A" w:rsidRPr="00E72588">
        <w:rPr>
          <w:i/>
        </w:rPr>
        <w:t xml:space="preserve"> sacculifer</w:t>
      </w:r>
      <w:r w:rsidR="00D1065A" w:rsidRPr="00E72588">
        <w:t xml:space="preserve"> (formally </w:t>
      </w:r>
      <w:r w:rsidR="003637BE" w:rsidRPr="00E72588">
        <w:rPr>
          <w:i/>
        </w:rPr>
        <w:t>Globigerinoides</w:t>
      </w:r>
      <w:r w:rsidR="00D1065A" w:rsidRPr="00E72588">
        <w:rPr>
          <w:i/>
        </w:rPr>
        <w:t xml:space="preserve"> sacculifer</w:t>
      </w:r>
      <w:r w:rsidR="00D1065A" w:rsidRPr="00E72588">
        <w:t xml:space="preserve"> and including </w:t>
      </w:r>
      <w:r w:rsidR="003637BE" w:rsidRPr="00E72588">
        <w:rPr>
          <w:rStyle w:val="Emphasis"/>
        </w:rPr>
        <w:t>Trilobatus</w:t>
      </w:r>
      <w:r w:rsidR="003637BE" w:rsidRPr="00E72588">
        <w:rPr>
          <w:i/>
        </w:rPr>
        <w:t xml:space="preserve"> </w:t>
      </w:r>
      <w:r w:rsidR="00D1065A" w:rsidRPr="00E72588">
        <w:rPr>
          <w:i/>
        </w:rPr>
        <w:t>trilobus</w:t>
      </w:r>
      <w:r w:rsidR="004E6CAE" w:rsidRPr="00E72588">
        <w:t>; Hembleden et al., 1987; Spezzaferri et al., 2015</w:t>
      </w:r>
      <w:r w:rsidR="00D1065A" w:rsidRPr="00E72588">
        <w:t xml:space="preserve">) for </w:t>
      </w:r>
      <w:r w:rsidR="00440DCB" w:rsidRPr="00E72588">
        <w:t>0</w:t>
      </w:r>
      <w:r w:rsidR="00D1065A" w:rsidRPr="00E72588">
        <w:t xml:space="preserve"> to </w:t>
      </w:r>
      <w:r w:rsidR="00440DCB" w:rsidRPr="00E72588">
        <w:t>20 Ma</w:t>
      </w:r>
      <w:r w:rsidR="00D1065A" w:rsidRPr="00E72588">
        <w:t xml:space="preserve"> and </w:t>
      </w:r>
      <w:r w:rsidR="00D1065A" w:rsidRPr="00E72588">
        <w:rPr>
          <w:i/>
        </w:rPr>
        <w:t>G</w:t>
      </w:r>
      <w:r w:rsidR="003637BE" w:rsidRPr="00E72588">
        <w:rPr>
          <w:i/>
        </w:rPr>
        <w:t>lobigerina</w:t>
      </w:r>
      <w:r w:rsidR="00D1065A" w:rsidRPr="00E72588">
        <w:rPr>
          <w:i/>
        </w:rPr>
        <w:t xml:space="preserve"> praebulloides</w:t>
      </w:r>
      <w:r w:rsidR="00D1065A" w:rsidRPr="00E72588">
        <w:t xml:space="preserve"> for </w:t>
      </w:r>
      <w:r w:rsidR="00440DCB" w:rsidRPr="00E72588">
        <w:t>22</w:t>
      </w:r>
      <w:r w:rsidR="00D1065A" w:rsidRPr="00E72588">
        <w:t xml:space="preserve"> to </w:t>
      </w:r>
      <w:r w:rsidR="00440DCB" w:rsidRPr="00E72588">
        <w:t>23 Ma</w:t>
      </w:r>
      <w:r w:rsidR="00D1065A" w:rsidRPr="00E72588">
        <w:t xml:space="preserve">. </w:t>
      </w:r>
      <w:r w:rsidRPr="00E72588">
        <w:t xml:space="preserve">The calibration for </w:t>
      </w:r>
      <w:r w:rsidRPr="00E72588">
        <w:rPr>
          <w:i/>
        </w:rPr>
        <w:t xml:space="preserve">G. ruber </w:t>
      </w:r>
      <w:r w:rsidRPr="00E72588">
        <w:t>(300-355</w:t>
      </w:r>
      <w:r w:rsidRPr="00E72588">
        <w:rPr>
          <w:rFonts w:hint="eastAsia"/>
        </w:rPr>
        <w:t>μ</w:t>
      </w:r>
      <w:r w:rsidRPr="00E72588">
        <w:t>m)</w:t>
      </w:r>
      <w:r w:rsidR="00BB1F84" w:rsidRPr="00E72588">
        <w:t xml:space="preserve"> </w:t>
      </w:r>
      <w:r w:rsidR="002A3785" w:rsidRPr="00E72588">
        <w:t xml:space="preserve">is </w:t>
      </w:r>
      <w:r w:rsidR="00D36762" w:rsidRPr="00E72588">
        <w:t xml:space="preserve">derived </w:t>
      </w:r>
      <w:r w:rsidR="002A3785" w:rsidRPr="00E72588">
        <w:t>from</w:t>
      </w:r>
      <w:r w:rsidR="00026485" w:rsidRPr="00E72588">
        <w:t xml:space="preserve"> culturing</w:t>
      </w:r>
      <w:r w:rsidR="00BD120F" w:rsidRPr="00E72588">
        <w:t xml:space="preserve"> data</w:t>
      </w:r>
      <w:r w:rsidR="00026485" w:rsidRPr="00E72588">
        <w:t xml:space="preserve"> supported by core top data</w:t>
      </w:r>
      <w:r w:rsidR="00D36762" w:rsidRPr="00E72588">
        <w:t xml:space="preserve"> (Henehan et al., 2013)</w:t>
      </w:r>
      <w:r w:rsidR="00026485" w:rsidRPr="00E72588">
        <w:t>. The</w:t>
      </w:r>
      <w:r w:rsidR="00BB1F84" w:rsidRPr="00E72588">
        <w:t xml:space="preserve"> </w:t>
      </w:r>
      <w:r w:rsidR="00BB1F84" w:rsidRPr="00E72588">
        <w:rPr>
          <w:i/>
        </w:rPr>
        <w:t xml:space="preserve">T. </w:t>
      </w:r>
      <w:r w:rsidR="00440DCB" w:rsidRPr="00E72588">
        <w:rPr>
          <w:i/>
        </w:rPr>
        <w:t>sacculifer</w:t>
      </w:r>
      <w:r w:rsidR="00BB1F84" w:rsidRPr="00E72588">
        <w:t xml:space="preserve"> </w:t>
      </w:r>
      <w:r w:rsidR="00026485" w:rsidRPr="00E72588">
        <w:t xml:space="preserve">calibration </w:t>
      </w:r>
      <w:r w:rsidR="00BB1F84" w:rsidRPr="00E72588">
        <w:t>(300-355</w:t>
      </w:r>
      <w:r w:rsidR="00BB1F84" w:rsidRPr="00E72588">
        <w:rPr>
          <w:rFonts w:hint="eastAsia"/>
        </w:rPr>
        <w:t>μ</w:t>
      </w:r>
      <w:r w:rsidR="00BB1F84" w:rsidRPr="00E72588">
        <w:t xml:space="preserve">m) </w:t>
      </w:r>
      <w:r w:rsidR="00026485" w:rsidRPr="00E72588">
        <w:t xml:space="preserve">is </w:t>
      </w:r>
      <w:r w:rsidR="00BB1F84" w:rsidRPr="00E72588">
        <w:t xml:space="preserve">from </w:t>
      </w:r>
      <w:r w:rsidR="00BD6C65">
        <w:t xml:space="preserve">a follow up study by </w:t>
      </w:r>
      <w:r w:rsidR="00BB1F84" w:rsidRPr="00E72588">
        <w:t>Sosdian et al</w:t>
      </w:r>
      <w:r w:rsidR="00BD6C65">
        <w:t xml:space="preserve">. </w:t>
      </w:r>
      <w:r w:rsidR="00BB1F84" w:rsidRPr="00E72588">
        <w:t xml:space="preserve">where the </w:t>
      </w:r>
      <w:r w:rsidR="00440DCB" w:rsidRPr="00E72588">
        <w:rPr>
          <w:i/>
        </w:rPr>
        <w:t>T</w:t>
      </w:r>
      <w:r w:rsidR="00BB1F84" w:rsidRPr="00E72588">
        <w:rPr>
          <w:i/>
        </w:rPr>
        <w:t xml:space="preserve">. sacculifer </w:t>
      </w:r>
      <w:r w:rsidR="00BB1F84" w:rsidRPr="00E72588">
        <w:t xml:space="preserve">calibration of </w:t>
      </w:r>
      <w:r w:rsidR="00BB1F84" w:rsidRPr="00E72588">
        <w:rPr>
          <w:noProof/>
        </w:rPr>
        <w:t xml:space="preserve">Sanyal et al., </w:t>
      </w:r>
      <w:r w:rsidR="00736568" w:rsidRPr="00E72588">
        <w:rPr>
          <w:noProof/>
        </w:rPr>
        <w:t>(</w:t>
      </w:r>
      <w:r w:rsidR="00BB1F84" w:rsidRPr="00E72588">
        <w:rPr>
          <w:noProof/>
        </w:rPr>
        <w:t>2001)</w:t>
      </w:r>
      <w:r w:rsidR="00BB1F84" w:rsidRPr="00E72588">
        <w:t xml:space="preserve"> is used with a modified</w:t>
      </w:r>
      <w:r w:rsidR="00BB1F84" w:rsidRPr="00E72588">
        <w:rPr>
          <w:color w:val="000000"/>
        </w:rPr>
        <w:t xml:space="preserve"> intercept so that it passes through the core top value for </w:t>
      </w:r>
      <w:r w:rsidR="00440DCB" w:rsidRPr="00E72588">
        <w:rPr>
          <w:i/>
          <w:color w:val="000000"/>
        </w:rPr>
        <w:t>T</w:t>
      </w:r>
      <w:r w:rsidR="00BB1F84" w:rsidRPr="00E72588">
        <w:rPr>
          <w:i/>
          <w:color w:val="000000"/>
        </w:rPr>
        <w:t>. sacculifer</w:t>
      </w:r>
      <w:r w:rsidR="00BB1F84" w:rsidRPr="00E72588">
        <w:rPr>
          <w:color w:val="000000"/>
        </w:rPr>
        <w:t xml:space="preserve"> (300–355 </w:t>
      </w:r>
      <w:r w:rsidR="00BB1F84" w:rsidRPr="00E72588">
        <w:rPr>
          <w:rFonts w:hint="eastAsia"/>
          <w:bCs/>
          <w:color w:val="000000"/>
        </w:rPr>
        <w:t>μ</w:t>
      </w:r>
      <w:r w:rsidR="00BB1F84" w:rsidRPr="00E72588">
        <w:rPr>
          <w:color w:val="000000"/>
        </w:rPr>
        <w:t>m) from ODP</w:t>
      </w:r>
      <w:r w:rsidR="003637BE" w:rsidRPr="00E72588">
        <w:rPr>
          <w:color w:val="000000"/>
        </w:rPr>
        <w:t xml:space="preserve"> Hole</w:t>
      </w:r>
      <w:r w:rsidR="00BB1F84" w:rsidRPr="00E72588">
        <w:rPr>
          <w:color w:val="000000"/>
        </w:rPr>
        <w:t xml:space="preserve"> 999A </w:t>
      </w:r>
      <w:r w:rsidR="00BB1F84" w:rsidRPr="00E72588">
        <w:rPr>
          <w:noProof/>
          <w:color w:val="000000"/>
        </w:rPr>
        <w:t>(Seki et al., 2010)</w:t>
      </w:r>
      <w:r w:rsidR="00BB1F84" w:rsidRPr="00E72588">
        <w:rPr>
          <w:color w:val="000000"/>
        </w:rPr>
        <w:t>.</w:t>
      </w:r>
      <w:r w:rsidR="00BB1F84" w:rsidRPr="00E72588">
        <w:t xml:space="preserve"> </w:t>
      </w:r>
      <w:r w:rsidR="0060378F" w:rsidRPr="00E72588">
        <w:t xml:space="preserve">Unlike the asymbiotic modern </w:t>
      </w:r>
      <w:r w:rsidR="009D1BB4">
        <w:rPr>
          <w:i/>
        </w:rPr>
        <w:t>G</w:t>
      </w:r>
      <w:r w:rsidR="0060378F" w:rsidRPr="00E72588">
        <w:rPr>
          <w:i/>
        </w:rPr>
        <w:t>. bulloides, G. praebulloides</w:t>
      </w:r>
      <w:r w:rsidR="0060378F" w:rsidRPr="00E72588">
        <w:t xml:space="preserve"> appears to be symbiotic at least in the latest Oligocene (Pearson and Wade, 2009). Therefore</w:t>
      </w:r>
      <w:r w:rsidR="00BB1F84" w:rsidRPr="00E72588">
        <w:t xml:space="preserve">, we apply the </w:t>
      </w:r>
      <w:r w:rsidR="00440DCB" w:rsidRPr="00E72588">
        <w:rPr>
          <w:i/>
        </w:rPr>
        <w:t>T</w:t>
      </w:r>
      <w:r w:rsidR="00BB1F84" w:rsidRPr="00E72588">
        <w:rPr>
          <w:i/>
        </w:rPr>
        <w:t>. sacculifer</w:t>
      </w:r>
      <w:r w:rsidR="00BB1F84" w:rsidRPr="00E72588">
        <w:t xml:space="preserve"> (300-355</w:t>
      </w:r>
      <w:r w:rsidR="00BB1F84" w:rsidRPr="00E72588">
        <w:rPr>
          <w:rFonts w:hint="eastAsia"/>
        </w:rPr>
        <w:t>μ</w:t>
      </w:r>
      <w:r w:rsidR="00BB1F84" w:rsidRPr="00E72588">
        <w:t>m)</w:t>
      </w:r>
      <w:r w:rsidR="0060378F" w:rsidRPr="00E72588">
        <w:t xml:space="preserve"> calibration</w:t>
      </w:r>
      <w:r w:rsidR="00BB1F84" w:rsidRPr="00E72588">
        <w:t xml:space="preserve"> to this species. For </w:t>
      </w:r>
      <w:r w:rsidR="00440DCB" w:rsidRPr="00E72588">
        <w:rPr>
          <w:i/>
        </w:rPr>
        <w:t>T</w:t>
      </w:r>
      <w:r w:rsidR="00BB1F84" w:rsidRPr="00E72588">
        <w:rPr>
          <w:i/>
        </w:rPr>
        <w:t xml:space="preserve">. </w:t>
      </w:r>
      <w:r w:rsidR="005E21BB" w:rsidRPr="00E72588">
        <w:rPr>
          <w:i/>
        </w:rPr>
        <w:t>sacculifer</w:t>
      </w:r>
      <w:r w:rsidR="00BB1F84" w:rsidRPr="00E72588">
        <w:t xml:space="preserve"> (</w:t>
      </w:r>
      <w:r w:rsidR="00A86007" w:rsidRPr="00E72588">
        <w:t>500-600</w:t>
      </w:r>
      <w:r w:rsidR="00BB1F84" w:rsidRPr="00E72588">
        <w:rPr>
          <w:rFonts w:hint="eastAsia"/>
        </w:rPr>
        <w:t>μ</w:t>
      </w:r>
      <w:r w:rsidR="00BB1F84" w:rsidRPr="00E72588">
        <w:t>m)</w:t>
      </w:r>
      <w:r w:rsidR="00440DCB" w:rsidRPr="00E72588">
        <w:t xml:space="preserve"> </w:t>
      </w:r>
      <w:r w:rsidR="003433CB" w:rsidRPr="00E72588">
        <w:t>between 0 and 1 Ma</w:t>
      </w:r>
      <w:r w:rsidR="00BB1F84" w:rsidRPr="00E72588">
        <w:t xml:space="preserve">, we use </w:t>
      </w:r>
      <w:r w:rsidR="005E21BB" w:rsidRPr="00E72588">
        <w:t xml:space="preserve">the calibration from </w:t>
      </w:r>
      <w:r w:rsidR="00442EC4" w:rsidRPr="00E72588">
        <w:rPr>
          <w:noProof/>
        </w:rPr>
        <w:t>Martìnez-Botì</w:t>
      </w:r>
      <w:r w:rsidR="00442EC4" w:rsidRPr="00E72588">
        <w:t xml:space="preserve"> </w:t>
      </w:r>
      <w:r w:rsidR="005E21BB" w:rsidRPr="00E72588">
        <w:t>et al. (2015</w:t>
      </w:r>
      <w:r w:rsidR="00442EC4" w:rsidRPr="00E72588">
        <w:t>b</w:t>
      </w:r>
      <w:r w:rsidR="005E21BB" w:rsidRPr="00E72588">
        <w:t>)</w:t>
      </w:r>
      <w:r w:rsidR="00736568" w:rsidRPr="00E72588">
        <w:t xml:space="preserve"> where t</w:t>
      </w:r>
      <w:r w:rsidR="00D36762" w:rsidRPr="00E72588">
        <w:t>he calibration of Sanyal et al.</w:t>
      </w:r>
      <w:r w:rsidR="00736568" w:rsidRPr="00E72588">
        <w:t xml:space="preserve"> (2001) measured using NTI</w:t>
      </w:r>
      <w:r w:rsidR="00736568" w:rsidRPr="00CE1586">
        <w:t xml:space="preserve">MS is corrected for the offset between MC-ICPMS and NTIMS </w:t>
      </w:r>
      <w:r w:rsidR="00E471D8" w:rsidRPr="00CE1586">
        <w:t>using</w:t>
      </w:r>
      <w:r w:rsidR="00736568" w:rsidRPr="00CE1586">
        <w:t xml:space="preserve"> </w:t>
      </w:r>
      <w:r w:rsidR="00E471D8" w:rsidRPr="00CE1586">
        <w:t xml:space="preserve">a comparison of </w:t>
      </w:r>
      <w:r w:rsidR="00BD120F" w:rsidRPr="00CE1586">
        <w:rPr>
          <w:rFonts w:eastAsiaTheme="minorEastAsia"/>
          <w:color w:val="262626"/>
          <w:lang w:val="en-US" w:eastAsia="ja-JP"/>
        </w:rPr>
        <w:t xml:space="preserve">core-top </w:t>
      </w:r>
      <w:r w:rsidR="00BD120F" w:rsidRPr="00CE1586">
        <w:rPr>
          <w:rFonts w:eastAsiaTheme="minorEastAsia"/>
          <w:i/>
          <w:iCs/>
          <w:color w:val="262626"/>
          <w:lang w:val="en-US" w:eastAsia="ja-JP"/>
        </w:rPr>
        <w:t>T. sacculifer</w:t>
      </w:r>
      <w:r w:rsidR="00BD120F" w:rsidRPr="00CE1586">
        <w:rPr>
          <w:rFonts w:eastAsiaTheme="minorEastAsia"/>
          <w:color w:val="262626"/>
          <w:lang w:val="en-US" w:eastAsia="ja-JP"/>
        </w:rPr>
        <w:t xml:space="preserve"> measured by the two different methods from adjacent sites (Foster, 2008; Sanyal et al., 1995)</w:t>
      </w:r>
      <w:r w:rsidR="00A86007" w:rsidRPr="00CE1586">
        <w:t>.</w:t>
      </w:r>
      <w:r w:rsidR="00A86007" w:rsidRPr="00E72588">
        <w:t xml:space="preserve"> In order to constrain deep-water pH, a</w:t>
      </w:r>
      <w:r w:rsidR="00BB1F84" w:rsidRPr="00E72588">
        <w:t xml:space="preserve">nalysis was conducted on benthic foraminifera </w:t>
      </w:r>
      <w:r w:rsidR="00BB1F84" w:rsidRPr="00E72588">
        <w:rPr>
          <w:i/>
        </w:rPr>
        <w:t xml:space="preserve">Cibicidoides </w:t>
      </w:r>
      <w:r w:rsidR="00A32BE2">
        <w:rPr>
          <w:i/>
        </w:rPr>
        <w:t xml:space="preserve">wuellerstorfi </w:t>
      </w:r>
      <w:r w:rsidR="00BB1F84" w:rsidRPr="00E72588">
        <w:t xml:space="preserve">or </w:t>
      </w:r>
      <w:r w:rsidR="00BB1F84" w:rsidRPr="00E72588">
        <w:rPr>
          <w:i/>
        </w:rPr>
        <w:t>Cibicidoides mundulus</w:t>
      </w:r>
      <w:r w:rsidR="00BB1F84" w:rsidRPr="00E72588">
        <w:t xml:space="preserve"> depending on which species were most abundant in each sample. The </w:t>
      </w:r>
      <w:r w:rsidR="00BB1F84" w:rsidRPr="00E72588">
        <w:rPr>
          <w:rFonts w:hint="eastAsia"/>
        </w:rPr>
        <w:t>δ</w:t>
      </w:r>
      <w:r w:rsidR="00BB1F84" w:rsidRPr="00E72588">
        <w:rPr>
          <w:vertAlign w:val="superscript"/>
        </w:rPr>
        <w:t>11</w:t>
      </w:r>
      <w:r w:rsidR="00BB1F84" w:rsidRPr="00E72588">
        <w:t xml:space="preserve">B of both </w:t>
      </w:r>
      <w:r w:rsidR="00BB1F84" w:rsidRPr="00E72588">
        <w:rPr>
          <w:i/>
        </w:rPr>
        <w:t>Cibicidoides</w:t>
      </w:r>
      <w:r w:rsidR="00BB1F84" w:rsidRPr="00E72588">
        <w:t xml:space="preserve"> species shows no offset from the theoretical </w:t>
      </w:r>
      <w:r w:rsidR="00BB1F84" w:rsidRPr="00CE1586">
        <w:t>δ</w:t>
      </w:r>
      <w:r w:rsidR="00BB1F84" w:rsidRPr="00E72588">
        <w:rPr>
          <w:vertAlign w:val="superscript"/>
        </w:rPr>
        <w:t>11</w:t>
      </w:r>
      <w:r w:rsidR="00BB1F84" w:rsidRPr="00E72588">
        <w:t xml:space="preserve">B of the borate ion and therefore no calibration is needed to </w:t>
      </w:r>
      <w:r w:rsidR="003637BE" w:rsidRPr="00E72588">
        <w:t>adjust</w:t>
      </w:r>
      <w:r w:rsidR="00BB1F84" w:rsidRPr="00E72588">
        <w:t xml:space="preserve"> for species-specific offsets </w:t>
      </w:r>
      <w:r w:rsidR="00BB1F84" w:rsidRPr="00E72588">
        <w:rPr>
          <w:noProof/>
        </w:rPr>
        <w:t>(Rae et al., 2011)</w:t>
      </w:r>
      <w:r w:rsidR="00BB1F84" w:rsidRPr="00E72588">
        <w:t xml:space="preserve">. </w:t>
      </w:r>
      <w:r w:rsidRPr="00E72588">
        <w:t xml:space="preserve"> </w:t>
      </w:r>
    </w:p>
    <w:p w14:paraId="2D6FCE87" w14:textId="714E9858" w:rsidR="00961950" w:rsidRPr="00A37CEB" w:rsidRDefault="008605EF" w:rsidP="00961950">
      <w:pPr>
        <w:rPr>
          <w:rFonts w:ascii="Calibri" w:hAnsi="Calibri"/>
          <w:color w:val="000000"/>
        </w:rPr>
      </w:pPr>
      <w:r>
        <w:t xml:space="preserve">As mentioned above, in addition to </w:t>
      </w:r>
      <w:r>
        <w:rPr>
          <w:rFonts w:ascii="Times New Roman" w:hAnsi="Times New Roman"/>
        </w:rPr>
        <w:t>δ</w:t>
      </w:r>
      <w:r>
        <w:rPr>
          <w:vertAlign w:val="superscript"/>
        </w:rPr>
        <w:t>11</w:t>
      </w:r>
      <w:r>
        <w:t>B</w:t>
      </w:r>
      <w:r>
        <w:rPr>
          <w:vertAlign w:val="subscript"/>
        </w:rPr>
        <w:t>calcite</w:t>
      </w:r>
      <w:r>
        <w:t>, temperature, salinity, water depth</w:t>
      </w:r>
      <w:r w:rsidR="00CF399D">
        <w:t xml:space="preserve"> (pressure)</w:t>
      </w:r>
      <w:r>
        <w:t xml:space="preserve"> and seawater major ion composition are also needed to calculate pH from </w:t>
      </w:r>
      <w:r>
        <w:rPr>
          <w:rFonts w:ascii="Times New Roman" w:hAnsi="Times New Roman"/>
        </w:rPr>
        <w:t>δ</w:t>
      </w:r>
      <w:r>
        <w:rPr>
          <w:vertAlign w:val="superscript"/>
        </w:rPr>
        <w:t>11</w:t>
      </w:r>
      <w:r>
        <w:t>B. We use the MyAMI specific ion interaction model (Hain et al., 2015) to calculate the appropriate equilibrium constants based on existing [Ca] and [Mg] reconstructions (Horita et al., 2002</w:t>
      </w:r>
      <w:r w:rsidR="005E54C7">
        <w:t xml:space="preserve">; </w:t>
      </w:r>
      <w:r w:rsidRPr="00A37CEB">
        <w:rPr>
          <w:rFonts w:ascii="Times New Roman" w:hAnsi="Times New Roman"/>
          <w:color w:val="000000"/>
        </w:rPr>
        <w:t>Brennan et al., 2013)</w:t>
      </w:r>
      <w:r>
        <w:t>. Sea surface temperature (SST)</w:t>
      </w:r>
      <w:r w:rsidRPr="00E5346A">
        <w:t xml:space="preserve"> </w:t>
      </w:r>
      <w:r>
        <w:t>is</w:t>
      </w:r>
      <w:r w:rsidRPr="00E5346A">
        <w:t xml:space="preserve"> </w:t>
      </w:r>
      <w:r w:rsidR="00961950" w:rsidRPr="00E5346A">
        <w:t>calculated from tandem Mg/Ca analyses on</w:t>
      </w:r>
      <w:r w:rsidR="006C08BC">
        <w:t xml:space="preserve"> an aliquot of the </w:t>
      </w:r>
      <w:r w:rsidR="006C08BC">
        <w:rPr>
          <w:rFonts w:ascii="Times New Roman" w:hAnsi="Times New Roman"/>
        </w:rPr>
        <w:t>δ</w:t>
      </w:r>
      <w:r w:rsidR="006C08BC">
        <w:rPr>
          <w:vertAlign w:val="superscript"/>
        </w:rPr>
        <w:t>11</w:t>
      </w:r>
      <w:r w:rsidR="006C08BC">
        <w:t xml:space="preserve">B sample </w:t>
      </w:r>
      <w:r w:rsidR="00961950">
        <w:t>(</w:t>
      </w:r>
      <w:r w:rsidR="00961950" w:rsidRPr="00F109AD">
        <w:t xml:space="preserve">with a conservative </w:t>
      </w:r>
      <w:r w:rsidR="005E54C7">
        <w:t>2</w:t>
      </w:r>
      <w:r w:rsidR="005E54C7">
        <w:sym w:font="Symbol" w:char="F073"/>
      </w:r>
      <w:r w:rsidR="005E54C7">
        <w:t xml:space="preserve"> uncertainty of</w:t>
      </w:r>
      <w:r w:rsidR="00961950" w:rsidRPr="00F109AD">
        <w:t xml:space="preserve"> 2</w:t>
      </w:r>
      <w:r w:rsidR="00961950" w:rsidRPr="00F109AD">
        <w:rPr>
          <w:vertAlign w:val="superscript"/>
        </w:rPr>
        <w:t>o</w:t>
      </w:r>
      <w:r w:rsidR="00961950" w:rsidRPr="00F109AD">
        <w:t>C)</w:t>
      </w:r>
      <w:r w:rsidR="00961950">
        <w:t>. Adjustments were made</w:t>
      </w:r>
      <w:r w:rsidR="00961950" w:rsidRPr="00C52D73">
        <w:t xml:space="preserve"> for</w:t>
      </w:r>
      <w:r w:rsidR="00961950">
        <w:t xml:space="preserve"> changes in </w:t>
      </w:r>
      <w:r w:rsidR="00961950" w:rsidRPr="00C52D73">
        <w:t>Mg/Ca</w:t>
      </w:r>
      <w:r w:rsidR="00961950" w:rsidRPr="00C52D73">
        <w:rPr>
          <w:vertAlign w:val="subscript"/>
        </w:rPr>
        <w:t>sw</w:t>
      </w:r>
      <w:r w:rsidR="00961950" w:rsidRPr="00C52D73">
        <w:t xml:space="preserve"> </w:t>
      </w:r>
      <w:r w:rsidR="00961950">
        <w:t>using the record</w:t>
      </w:r>
      <w:r w:rsidR="00460FDB">
        <w:t>s</w:t>
      </w:r>
      <w:r w:rsidR="00961950">
        <w:t xml:space="preserve"> of</w:t>
      </w:r>
      <w:r w:rsidR="00961950" w:rsidRPr="00C52D73">
        <w:t xml:space="preserve"> </w:t>
      </w:r>
      <w:r w:rsidR="005E54C7">
        <w:rPr>
          <w:noProof/>
        </w:rPr>
        <w:t>Horita et al.</w:t>
      </w:r>
      <w:r w:rsidR="00961950" w:rsidRPr="00C52D73">
        <w:rPr>
          <w:noProof/>
        </w:rPr>
        <w:t xml:space="preserve"> </w:t>
      </w:r>
      <w:r w:rsidR="005E54C7">
        <w:rPr>
          <w:noProof/>
        </w:rPr>
        <w:t>(</w:t>
      </w:r>
      <w:r w:rsidR="00961950" w:rsidRPr="00C52D73">
        <w:rPr>
          <w:noProof/>
        </w:rPr>
        <w:t>2002)</w:t>
      </w:r>
      <w:r w:rsidR="00460FDB">
        <w:rPr>
          <w:noProof/>
        </w:rPr>
        <w:t xml:space="preserve"> and </w:t>
      </w:r>
      <w:r w:rsidR="005E54C7">
        <w:rPr>
          <w:rFonts w:ascii="Times New Roman" w:hAnsi="Times New Roman"/>
          <w:color w:val="000000"/>
        </w:rPr>
        <w:t>Brennan et al.</w:t>
      </w:r>
      <w:r w:rsidR="00A37CEB" w:rsidRPr="00A37CEB">
        <w:rPr>
          <w:rFonts w:ascii="Times New Roman" w:hAnsi="Times New Roman"/>
          <w:color w:val="000000"/>
        </w:rPr>
        <w:t xml:space="preserve"> </w:t>
      </w:r>
      <w:r w:rsidR="005E54C7">
        <w:rPr>
          <w:rFonts w:ascii="Times New Roman" w:hAnsi="Times New Roman"/>
          <w:color w:val="000000"/>
        </w:rPr>
        <w:t>(</w:t>
      </w:r>
      <w:r w:rsidR="00A37CEB" w:rsidRPr="00A37CEB">
        <w:rPr>
          <w:rFonts w:ascii="Times New Roman" w:hAnsi="Times New Roman"/>
          <w:color w:val="000000"/>
        </w:rPr>
        <w:t>2013)</w:t>
      </w:r>
      <w:r w:rsidR="005E54C7">
        <w:rPr>
          <w:rFonts w:ascii="Times New Roman" w:hAnsi="Times New Roman"/>
          <w:color w:val="000000"/>
        </w:rPr>
        <w:t>,</w:t>
      </w:r>
      <w:r w:rsidR="00A37CEB">
        <w:rPr>
          <w:rFonts w:ascii="Calibri" w:hAnsi="Calibri"/>
          <w:color w:val="000000"/>
        </w:rPr>
        <w:t xml:space="preserve"> </w:t>
      </w:r>
      <w:r w:rsidR="00A37CEB">
        <w:t>a</w:t>
      </w:r>
      <w:r w:rsidR="00961950">
        <w:t xml:space="preserve">nd correcting for changes in dependence on </w:t>
      </w:r>
      <w:r w:rsidR="00961950" w:rsidRPr="00C52D73">
        <w:t>Mg/Ca</w:t>
      </w:r>
      <w:r w:rsidR="00961950" w:rsidRPr="00C52D73">
        <w:rPr>
          <w:vertAlign w:val="subscript"/>
        </w:rPr>
        <w:t>sw</w:t>
      </w:r>
      <w:r w:rsidR="00961950">
        <w:rPr>
          <w:vertAlign w:val="subscript"/>
        </w:rPr>
        <w:t xml:space="preserve">  </w:t>
      </w:r>
      <w:r w:rsidR="00961950">
        <w:t xml:space="preserve">following </w:t>
      </w:r>
      <w:r w:rsidR="008727BF">
        <w:rPr>
          <w:noProof/>
        </w:rPr>
        <w:t>Evans and M</w:t>
      </w:r>
      <w:r w:rsidR="00A32BE2">
        <w:rPr>
          <w:noProof/>
        </w:rPr>
        <w:t>ü</w:t>
      </w:r>
      <w:r w:rsidR="008727BF">
        <w:rPr>
          <w:noProof/>
        </w:rPr>
        <w:t xml:space="preserve">ller </w:t>
      </w:r>
      <w:r w:rsidR="003637BE">
        <w:rPr>
          <w:noProof/>
        </w:rPr>
        <w:t>(</w:t>
      </w:r>
      <w:r w:rsidR="00961950">
        <w:rPr>
          <w:noProof/>
        </w:rPr>
        <w:t>2012)</w:t>
      </w:r>
      <w:r w:rsidR="00961950">
        <w:t xml:space="preserve"> using H = 0.41 calculated from </w:t>
      </w:r>
      <w:r w:rsidR="00440DCB">
        <w:rPr>
          <w:i/>
        </w:rPr>
        <w:t>T</w:t>
      </w:r>
      <w:r w:rsidR="00961950">
        <w:rPr>
          <w:i/>
        </w:rPr>
        <w:t>. sacculifer</w:t>
      </w:r>
      <w:r w:rsidR="00961950">
        <w:t xml:space="preserve"> </w:t>
      </w:r>
      <w:r w:rsidR="00961950">
        <w:rPr>
          <w:noProof/>
        </w:rPr>
        <w:t>(</w:t>
      </w:r>
      <w:r w:rsidR="0053360A" w:rsidRPr="00303770">
        <w:rPr>
          <w:rFonts w:ascii="Times New Roman" w:hAnsi="Times New Roman"/>
          <w:noProof/>
        </w:rPr>
        <w:t xml:space="preserve">where H </w:t>
      </w:r>
      <w:r w:rsidR="00303770" w:rsidRPr="00303770">
        <w:rPr>
          <w:rFonts w:ascii="Times New Roman" w:hAnsi="Times New Roman"/>
          <w:noProof/>
        </w:rPr>
        <w:t>describes the</w:t>
      </w:r>
      <w:r w:rsidR="0053360A" w:rsidRPr="00303770">
        <w:rPr>
          <w:rFonts w:ascii="Times New Roman" w:hAnsi="Times New Roman"/>
          <w:noProof/>
        </w:rPr>
        <w:t xml:space="preserve"> power </w:t>
      </w:r>
      <w:r w:rsidR="00303770" w:rsidRPr="00303770">
        <w:rPr>
          <w:rFonts w:ascii="Times New Roman" w:hAnsi="Times New Roman"/>
          <w:noProof/>
        </w:rPr>
        <w:t>relationship</w:t>
      </w:r>
      <w:r w:rsidR="0053360A" w:rsidRPr="00303770">
        <w:rPr>
          <w:rFonts w:ascii="Times New Roman" w:hAnsi="Times New Roman"/>
          <w:noProof/>
        </w:rPr>
        <w:t xml:space="preserve"> </w:t>
      </w:r>
      <w:r w:rsidR="005965CF">
        <w:rPr>
          <w:rFonts w:ascii="Times New Roman" w:eastAsiaTheme="minorEastAsia" w:hAnsi="Times New Roman"/>
          <w:color w:val="262626"/>
          <w:lang w:val="en-US" w:eastAsia="ja-JP"/>
        </w:rPr>
        <w:t>between</w:t>
      </w:r>
      <w:r w:rsidR="0053360A" w:rsidRPr="00303770">
        <w:rPr>
          <w:rFonts w:ascii="Times New Roman" w:eastAsiaTheme="minorEastAsia" w:hAnsi="Times New Roman"/>
          <w:color w:val="262626"/>
          <w:lang w:val="en-US" w:eastAsia="ja-JP"/>
        </w:rPr>
        <w:t xml:space="preserve"> test Mg/Ca</w:t>
      </w:r>
      <w:r w:rsidR="005965CF">
        <w:rPr>
          <w:rFonts w:ascii="Times New Roman" w:eastAsiaTheme="minorEastAsia" w:hAnsi="Times New Roman"/>
          <w:color w:val="262626"/>
          <w:lang w:val="en-US" w:eastAsia="ja-JP"/>
        </w:rPr>
        <w:t xml:space="preserve"> incorporation</w:t>
      </w:r>
      <w:r w:rsidR="0053360A" w:rsidRPr="00303770">
        <w:rPr>
          <w:rFonts w:ascii="Times New Roman" w:eastAsiaTheme="minorEastAsia" w:hAnsi="Times New Roman"/>
          <w:color w:val="262626"/>
          <w:lang w:val="en-US" w:eastAsia="ja-JP"/>
        </w:rPr>
        <w:t xml:space="preserve"> </w:t>
      </w:r>
      <w:r w:rsidR="005965CF">
        <w:rPr>
          <w:rFonts w:ascii="Times New Roman" w:eastAsiaTheme="minorEastAsia" w:hAnsi="Times New Roman"/>
          <w:color w:val="262626"/>
          <w:lang w:val="en-US" w:eastAsia="ja-JP"/>
        </w:rPr>
        <w:t>and</w:t>
      </w:r>
      <w:r w:rsidR="0053360A" w:rsidRPr="00303770">
        <w:rPr>
          <w:rFonts w:ascii="Times New Roman" w:eastAsiaTheme="minorEastAsia" w:hAnsi="Times New Roman"/>
          <w:color w:val="262626"/>
          <w:lang w:val="en-US" w:eastAsia="ja-JP"/>
        </w:rPr>
        <w:t xml:space="preserve"> Mg/Ca</w:t>
      </w:r>
      <w:r w:rsidR="0053360A" w:rsidRPr="00303770">
        <w:rPr>
          <w:rFonts w:ascii="Times New Roman" w:eastAsiaTheme="minorEastAsia" w:hAnsi="Times New Roman"/>
          <w:color w:val="262626"/>
          <w:vertAlign w:val="subscript"/>
          <w:lang w:val="en-US" w:eastAsia="ja-JP"/>
        </w:rPr>
        <w:t>sw</w:t>
      </w:r>
      <w:r w:rsidR="00303770" w:rsidRPr="00303770">
        <w:rPr>
          <w:rFonts w:ascii="Times New Roman" w:eastAsiaTheme="minorEastAsia" w:hAnsi="Times New Roman"/>
          <w:color w:val="262626"/>
          <w:lang w:val="en-US" w:eastAsia="ja-JP"/>
        </w:rPr>
        <w:t>;</w:t>
      </w:r>
      <w:r w:rsidR="0053360A">
        <w:rPr>
          <w:noProof/>
        </w:rPr>
        <w:t xml:space="preserve"> </w:t>
      </w:r>
      <w:r w:rsidR="00961950">
        <w:rPr>
          <w:noProof/>
        </w:rPr>
        <w:t>Delan</w:t>
      </w:r>
      <w:r w:rsidR="006077CD">
        <w:rPr>
          <w:noProof/>
        </w:rPr>
        <w:t>e</w:t>
      </w:r>
      <w:r w:rsidR="00961950">
        <w:rPr>
          <w:noProof/>
        </w:rPr>
        <w:t>y et al., 1985; Hasiuk and Lohmann, 2010; Evans and M</w:t>
      </w:r>
      <w:r w:rsidR="00A32BE2">
        <w:rPr>
          <w:noProof/>
        </w:rPr>
        <w:t>ü</w:t>
      </w:r>
      <w:r w:rsidR="00961950">
        <w:rPr>
          <w:noProof/>
        </w:rPr>
        <w:t>ller, 2012)</w:t>
      </w:r>
      <w:r w:rsidR="00961950">
        <w:t xml:space="preserve"> using the equations:</w:t>
      </w:r>
    </w:p>
    <w:p w14:paraId="3552D9CD" w14:textId="62B7DCBD" w:rsidR="00961950" w:rsidRPr="002422AF" w:rsidRDefault="00392FEF" w:rsidP="00961950">
      <m:oMathPara>
        <m:oMath>
          <m:f>
            <m:fPr>
              <m:type m:val="lin"/>
              <m:ctrlPr>
                <w:rPr>
                  <w:rFonts w:ascii="Cambria Math" w:hAnsi="Cambria Math"/>
                  <w:i/>
                </w:rPr>
              </m:ctrlPr>
            </m:fPr>
            <m:num>
              <m:r>
                <w:rPr>
                  <w:rFonts w:ascii="Cambria Math" w:hAnsi="Cambria Math"/>
                </w:rPr>
                <m:t>Mg</m:t>
              </m:r>
            </m:num>
            <m:den>
              <m:sSub>
                <m:sSubPr>
                  <m:ctrlPr>
                    <w:rPr>
                      <w:rFonts w:ascii="Cambria Math" w:hAnsi="Cambria Math"/>
                      <w:i/>
                    </w:rPr>
                  </m:ctrlPr>
                </m:sSubPr>
                <m:e>
                  <m:r>
                    <w:rPr>
                      <w:rFonts w:ascii="Cambria Math" w:hAnsi="Cambria Math"/>
                    </w:rPr>
                    <m:t>Ca</m:t>
                  </m:r>
                </m:e>
                <m:sub>
                  <m:r>
                    <w:rPr>
                      <w:rFonts w:ascii="Cambria Math" w:hAnsi="Cambria Math"/>
                    </w:rPr>
                    <m:t>sw.c</m:t>
                  </m:r>
                </m:sub>
              </m:sSub>
              <m:r>
                <w:rPr>
                  <w:rFonts w:ascii="Cambria Math" w:hAnsi="Cambria Math"/>
                </w:rPr>
                <m:t xml:space="preserve">=  </m:t>
              </m:r>
            </m:den>
          </m:f>
          <m:f>
            <m:fPr>
              <m:type m:val="lin"/>
              <m:ctrlPr>
                <w:rPr>
                  <w:rFonts w:ascii="Cambria Math" w:hAnsi="Cambria Math"/>
                  <w:i/>
                </w:rPr>
              </m:ctrlPr>
            </m:fPr>
            <m:num>
              <m:r>
                <w:rPr>
                  <w:rFonts w:ascii="Cambria Math" w:hAnsi="Cambria Math"/>
                </w:rPr>
                <m:t>(Mg</m:t>
              </m:r>
            </m:num>
            <m:den>
              <m:sSup>
                <m:sSupPr>
                  <m:ctrlPr>
                    <w:rPr>
                      <w:rFonts w:ascii="Cambria Math" w:hAnsi="Cambria Math"/>
                      <w:i/>
                    </w:rPr>
                  </m:ctrlPr>
                </m:sSupPr>
                <m:e>
                  <m:sSub>
                    <m:sSubPr>
                      <m:ctrlPr>
                        <w:rPr>
                          <w:rFonts w:ascii="Cambria Math" w:hAnsi="Cambria Math"/>
                          <w:i/>
                        </w:rPr>
                      </m:ctrlPr>
                    </m:sSubPr>
                    <m:e>
                      <m:r>
                        <w:rPr>
                          <w:rFonts w:ascii="Cambria Math" w:hAnsi="Cambria Math"/>
                        </w:rPr>
                        <m:t>Ca</m:t>
                      </m:r>
                    </m:e>
                    <m:sub>
                      <m:r>
                        <w:rPr>
                          <w:rFonts w:ascii="Cambria Math" w:hAnsi="Cambria Math"/>
                        </w:rPr>
                        <m:t>sw.a</m:t>
                      </m:r>
                    </m:sub>
                  </m:sSub>
                </m:e>
                <m:sup/>
              </m:sSup>
              <m:r>
                <w:rPr>
                  <w:rFonts w:ascii="Cambria Math" w:hAnsi="Cambria Math"/>
                </w:rPr>
                <m:t>/</m:t>
              </m:r>
              <m:f>
                <m:fPr>
                  <m:type m:val="lin"/>
                  <m:ctrlPr>
                    <w:rPr>
                      <w:rFonts w:ascii="Cambria Math" w:hAnsi="Cambria Math"/>
                      <w:i/>
                    </w:rPr>
                  </m:ctrlPr>
                </m:fPr>
                <m:num>
                  <m:r>
                    <w:rPr>
                      <w:rFonts w:ascii="Cambria Math" w:hAnsi="Cambria Math"/>
                    </w:rPr>
                    <m:t>Mg</m:t>
                  </m:r>
                </m:num>
                <m:den>
                  <m:sSup>
                    <m:sSupPr>
                      <m:ctrlPr>
                        <w:rPr>
                          <w:rFonts w:ascii="Cambria Math" w:hAnsi="Cambria Math"/>
                          <w:i/>
                        </w:rPr>
                      </m:ctrlPr>
                    </m:sSupPr>
                    <m:e>
                      <m:sSub>
                        <m:sSubPr>
                          <m:ctrlPr>
                            <w:rPr>
                              <w:rFonts w:ascii="Cambria Math" w:hAnsi="Cambria Math"/>
                              <w:i/>
                            </w:rPr>
                          </m:ctrlPr>
                        </m:sSubPr>
                        <m:e>
                          <m:r>
                            <w:rPr>
                              <w:rFonts w:ascii="Cambria Math" w:hAnsi="Cambria Math"/>
                            </w:rPr>
                            <m:t>Ca</m:t>
                          </m:r>
                        </m:e>
                        <m:sub>
                          <m:r>
                            <w:rPr>
                              <w:rFonts w:ascii="Cambria Math" w:hAnsi="Cambria Math"/>
                            </w:rPr>
                            <m:t>sw.m</m:t>
                          </m:r>
                        </m:sub>
                      </m:sSub>
                      <m:r>
                        <w:rPr>
                          <w:rFonts w:ascii="Cambria Math" w:hAnsi="Cambria Math"/>
                        </w:rPr>
                        <m:t>)</m:t>
                      </m:r>
                    </m:e>
                    <m:sup>
                      <m:r>
                        <w:rPr>
                          <w:rFonts w:ascii="Cambria Math" w:hAnsi="Cambria Math"/>
                        </w:rPr>
                        <m:t>0.41</m:t>
                      </m:r>
                    </m:sup>
                  </m:sSup>
                  <m:r>
                    <w:rPr>
                      <w:rFonts w:ascii="Cambria Math" w:hAnsi="Cambria Math"/>
                    </w:rPr>
                    <m:t xml:space="preserve">            (2)</m:t>
                  </m:r>
                </m:den>
              </m:f>
            </m:den>
          </m:f>
        </m:oMath>
      </m:oMathPara>
    </w:p>
    <w:p w14:paraId="467A4F42" w14:textId="3511039C" w:rsidR="00961950" w:rsidRPr="00BF7413" w:rsidRDefault="00961950" w:rsidP="00961950">
      <w:r>
        <w:t>Where Mg/Ca</w:t>
      </w:r>
      <w:r>
        <w:rPr>
          <w:vertAlign w:val="subscript"/>
        </w:rPr>
        <w:t>sw.c</w:t>
      </w:r>
      <w:r>
        <w:t xml:space="preserve"> is the correction factor applied to the temperature equation for changing Mg/Ca</w:t>
      </w:r>
      <w:r>
        <w:rPr>
          <w:vertAlign w:val="subscript"/>
        </w:rPr>
        <w:t>sw</w:t>
      </w:r>
      <w:r>
        <w:t>, Mg/Ca</w:t>
      </w:r>
      <w:r>
        <w:rPr>
          <w:vertAlign w:val="subscript"/>
        </w:rPr>
        <w:t>sw.a</w:t>
      </w:r>
      <w:r>
        <w:t xml:space="preserve"> is the estimated Mg/Ca</w:t>
      </w:r>
      <w:r>
        <w:rPr>
          <w:vertAlign w:val="subscript"/>
        </w:rPr>
        <w:t>sw</w:t>
      </w:r>
      <w:r>
        <w:t xml:space="preserve"> for the age of the sample and Mg/Ca</w:t>
      </w:r>
      <w:r>
        <w:rPr>
          <w:vertAlign w:val="subscript"/>
        </w:rPr>
        <w:t>sw.m</w:t>
      </w:r>
      <w:r>
        <w:t xml:space="preserve"> is modern Mg/Ca</w:t>
      </w:r>
      <w:r>
        <w:rPr>
          <w:vertAlign w:val="subscript"/>
        </w:rPr>
        <w:t>sw</w:t>
      </w:r>
      <w:r>
        <w:t xml:space="preserve">. Temperature is then calculated using the generic planktic foraminifera calibration of </w:t>
      </w:r>
      <w:r w:rsidR="005E54C7">
        <w:rPr>
          <w:noProof/>
        </w:rPr>
        <w:t>Anand et al.</w:t>
      </w:r>
      <w:r>
        <w:rPr>
          <w:noProof/>
        </w:rPr>
        <w:t xml:space="preserve"> </w:t>
      </w:r>
      <w:r w:rsidR="005E54C7">
        <w:rPr>
          <w:noProof/>
        </w:rPr>
        <w:t>(</w:t>
      </w:r>
      <w:r>
        <w:rPr>
          <w:noProof/>
        </w:rPr>
        <w:t>2003)</w:t>
      </w:r>
      <w:r>
        <w:t xml:space="preserve"> and including a correction factor for Mg/Ca</w:t>
      </w:r>
      <w:r>
        <w:rPr>
          <w:vertAlign w:val="subscript"/>
        </w:rPr>
        <w:t>sw</w:t>
      </w:r>
      <w:r>
        <w:t>.</w:t>
      </w:r>
    </w:p>
    <w:p w14:paraId="5D3F833F" w14:textId="40C2A88D" w:rsidR="00961950" w:rsidRPr="002422AF" w:rsidRDefault="00961950" w:rsidP="00961950">
      <m:oMathPara>
        <m:oMath>
          <m:r>
            <w:rPr>
              <w:rFonts w:ascii="Cambria Math" w:hAnsi="Cambria Math"/>
            </w:rPr>
            <m:t>Temperature=ln(</m:t>
          </m:r>
          <m:f>
            <m:fPr>
              <m:type m:val="lin"/>
              <m:ctrlPr>
                <w:rPr>
                  <w:rFonts w:ascii="Cambria Math" w:hAnsi="Cambria Math"/>
                  <w:i/>
                </w:rPr>
              </m:ctrlPr>
            </m:fPr>
            <m:num>
              <m:r>
                <w:rPr>
                  <w:rFonts w:ascii="Cambria Math" w:hAnsi="Cambria Math"/>
                </w:rPr>
                <m:t>Mg</m:t>
              </m:r>
            </m:num>
            <m:den>
              <m:sSub>
                <m:sSubPr>
                  <m:ctrlPr>
                    <w:rPr>
                      <w:rFonts w:ascii="Cambria Math" w:hAnsi="Cambria Math"/>
                      <w:i/>
                    </w:rPr>
                  </m:ctrlPr>
                </m:sSubPr>
                <m:e>
                  <m:r>
                    <w:rPr>
                      <w:rFonts w:ascii="Cambria Math" w:hAnsi="Cambria Math"/>
                    </w:rPr>
                    <m:t>Ca</m:t>
                  </m:r>
                </m:e>
                <m:sub>
                  <m:r>
                    <w:rPr>
                      <w:rFonts w:ascii="Cambria Math" w:hAnsi="Cambria Math"/>
                    </w:rPr>
                    <m:t>test</m:t>
                  </m:r>
                </m:sub>
              </m:sSub>
              <m:r>
                <w:rPr>
                  <w:rFonts w:ascii="Cambria Math" w:hAnsi="Cambria Math"/>
                </w:rPr>
                <m:t>/(0.38*</m:t>
              </m:r>
              <m:f>
                <m:fPr>
                  <m:type m:val="lin"/>
                  <m:ctrlPr>
                    <w:rPr>
                      <w:rFonts w:ascii="Cambria Math" w:hAnsi="Cambria Math"/>
                      <w:i/>
                    </w:rPr>
                  </m:ctrlPr>
                </m:fPr>
                <m:num>
                  <m:r>
                    <w:rPr>
                      <w:rFonts w:ascii="Cambria Math" w:hAnsi="Cambria Math"/>
                    </w:rPr>
                    <m:t>Mg</m:t>
                  </m:r>
                </m:num>
                <m:den>
                  <m:sSub>
                    <m:sSubPr>
                      <m:ctrlPr>
                        <w:rPr>
                          <w:rFonts w:ascii="Cambria Math" w:hAnsi="Cambria Math"/>
                          <w:i/>
                        </w:rPr>
                      </m:ctrlPr>
                    </m:sSubPr>
                    <m:e>
                      <m:r>
                        <w:rPr>
                          <w:rFonts w:ascii="Cambria Math" w:hAnsi="Cambria Math"/>
                        </w:rPr>
                        <m:t>Ca</m:t>
                      </m:r>
                    </m:e>
                    <m:sub>
                      <m:r>
                        <w:rPr>
                          <w:rFonts w:ascii="Cambria Math" w:hAnsi="Cambria Math"/>
                        </w:rPr>
                        <m:t>sw.c</m:t>
                      </m:r>
                    </m:sub>
                  </m:sSub>
                  <m:r>
                    <w:rPr>
                      <w:rFonts w:ascii="Cambria Math" w:hAnsi="Cambria Math"/>
                    </w:rPr>
                    <m:t xml:space="preserve"> </m:t>
                  </m:r>
                </m:den>
              </m:f>
              <m:r>
                <w:rPr>
                  <w:rFonts w:ascii="Cambria Math" w:hAnsi="Cambria Math"/>
                </w:rPr>
                <m:t>))/0.09</m:t>
              </m:r>
            </m:den>
          </m:f>
          <m:r>
            <w:rPr>
              <w:rFonts w:ascii="Cambria Math" w:hAnsi="Cambria Math"/>
            </w:rPr>
            <m:t xml:space="preserve">         (3)</m:t>
          </m:r>
        </m:oMath>
      </m:oMathPara>
    </w:p>
    <w:p w14:paraId="689AF3C8" w14:textId="7A9EF2DD" w:rsidR="00961950" w:rsidRPr="00717791" w:rsidRDefault="00961950" w:rsidP="00961950">
      <w:r>
        <w:t>Mg/Ca analysis</w:t>
      </w:r>
      <w:r w:rsidRPr="00131DEC">
        <w:t xml:space="preserve"> was conducted on a small aliquot of the </w:t>
      </w:r>
      <w:r>
        <w:t>sample dissolved for isotope analysis</w:t>
      </w:r>
      <w:r w:rsidRPr="00131DEC">
        <w:t xml:space="preserve"> at the University of Southampton using a ThermoFisher Scientific Element</w:t>
      </w:r>
      <w:r>
        <w:t xml:space="preserve"> 2</w:t>
      </w:r>
      <w:r w:rsidRPr="00131DEC">
        <w:t xml:space="preserve"> XR</w:t>
      </w:r>
      <w:r>
        <w:t>.</w:t>
      </w:r>
      <w:r w:rsidRPr="00131DEC">
        <w:t xml:space="preserve"> Al/Ca</w:t>
      </w:r>
      <w:r>
        <w:t xml:space="preserve"> was also measured</w:t>
      </w:r>
      <w:r w:rsidRPr="00131DEC">
        <w:t xml:space="preserve"> to assess the competency of the sample cleaning.</w:t>
      </w:r>
      <w:r>
        <w:t xml:space="preserve">  </w:t>
      </w:r>
      <w:r w:rsidR="003637BE">
        <w:t>Because of</w:t>
      </w:r>
      <w:r>
        <w:t xml:space="preserve"> complications with the Mg/Ca-temperature proxy in </w:t>
      </w:r>
      <w:r w:rsidR="0060378F" w:rsidRPr="00205C13">
        <w:rPr>
          <w:i/>
        </w:rPr>
        <w:t>Cibicidoides</w:t>
      </w:r>
      <w:r w:rsidR="0060378F">
        <w:t xml:space="preserve"> species</w:t>
      </w:r>
      <w:r>
        <w:t xml:space="preserve"> </w:t>
      </w:r>
      <w:r>
        <w:rPr>
          <w:noProof/>
        </w:rPr>
        <w:t>(Elderfield et al., 2006)</w:t>
      </w:r>
      <w:r>
        <w:t>, bottom water temperatures (BWTs) are estimated here by taking the</w:t>
      </w:r>
      <w:r w:rsidR="00272075">
        <w:t xml:space="preserve"> global secular</w:t>
      </w:r>
      <w:r>
        <w:t xml:space="preserve"> temperature change from the </w:t>
      </w:r>
      <w:r w:rsidRPr="003B48B6">
        <w:rPr>
          <w:lang w:val="en-US"/>
        </w:rPr>
        <w:t xml:space="preserve">Mg/Ca temperature compilation of </w:t>
      </w:r>
      <w:r w:rsidR="009931F8">
        <w:rPr>
          <w:noProof/>
          <w:lang w:val="en-US"/>
        </w:rPr>
        <w:t>Cramer et al. (</w:t>
      </w:r>
      <w:r>
        <w:rPr>
          <w:noProof/>
          <w:lang w:val="en-US"/>
        </w:rPr>
        <w:t>2011)</w:t>
      </w:r>
      <w:r>
        <w:rPr>
          <w:lang w:val="en-US"/>
        </w:rPr>
        <w:t xml:space="preserve">, </w:t>
      </w:r>
      <w:r w:rsidRPr="006F54F3">
        <w:t>using the</w:t>
      </w:r>
      <w:r>
        <w:t xml:space="preserve"> calibration of </w:t>
      </w:r>
      <w:r w:rsidR="009931F8">
        <w:rPr>
          <w:noProof/>
        </w:rPr>
        <w:t>Lear et al.</w:t>
      </w:r>
      <w:r>
        <w:rPr>
          <w:noProof/>
        </w:rPr>
        <w:t xml:space="preserve"> (2010)</w:t>
      </w:r>
      <w:r>
        <w:t xml:space="preserve"> and applying this change to the modern bottom water temperature at each site taken from the nearest GLODAP site (with a conservative </w:t>
      </w:r>
      <w:r w:rsidR="005E54C7">
        <w:t>2</w:t>
      </w:r>
      <w:r w:rsidR="005E54C7">
        <w:sym w:font="Symbol" w:char="F073"/>
      </w:r>
      <w:r w:rsidR="005E54C7">
        <w:t xml:space="preserve"> uncertainty of</w:t>
      </w:r>
      <w:r>
        <w:t xml:space="preserve"> 2</w:t>
      </w:r>
      <w:r w:rsidRPr="00E5346A">
        <w:rPr>
          <w:vertAlign w:val="superscript"/>
        </w:rPr>
        <w:t>o</w:t>
      </w:r>
      <w:r w:rsidRPr="00E5346A">
        <w:t>C)</w:t>
      </w:r>
      <w:r>
        <w:t>.</w:t>
      </w:r>
      <w:r w:rsidRPr="006F54F3">
        <w:t xml:space="preserve"> </w:t>
      </w:r>
      <w:r w:rsidR="00272075">
        <w:t>Salinity is</w:t>
      </w:r>
      <w:r>
        <w:t xml:space="preserve"> held constant at modern values determined from the nearest GLODAP site</w:t>
      </w:r>
      <w:r w:rsidRPr="006F54F3">
        <w:t xml:space="preserve"> </w:t>
      </w:r>
      <w:r>
        <w:t>(</w:t>
      </w:r>
      <w:r w:rsidR="005E54C7">
        <w:t>2</w:t>
      </w:r>
      <w:r w:rsidR="005E54C7">
        <w:sym w:font="Symbol" w:char="F073"/>
      </w:r>
      <w:r w:rsidR="005E54C7">
        <w:t xml:space="preserve"> uncertainty of </w:t>
      </w:r>
      <w:r>
        <w:t>2</w:t>
      </w:r>
      <w:r w:rsidRPr="006F54F3">
        <w:t xml:space="preserve"> ‰</w:t>
      </w:r>
      <w:r>
        <w:t xml:space="preserve"> uncertainty)</w:t>
      </w:r>
      <w:r w:rsidRPr="006F54F3">
        <w:t xml:space="preserve"> for the entire record.</w:t>
      </w:r>
      <w:r>
        <w:t xml:space="preserve"> </w:t>
      </w:r>
      <w:r w:rsidR="005E21BB">
        <w:t>Note that temperature and salinity ha</w:t>
      </w:r>
      <w:r w:rsidR="00272075">
        <w:t>ve</w:t>
      </w:r>
      <w:r w:rsidR="005E21BB">
        <w:t xml:space="preserve"> little influence on the calculated pH and the uncertainty in </w:t>
      </w:r>
      <w:r w:rsidR="005E21BB" w:rsidRPr="00D20154">
        <w:rPr>
          <w:color w:val="000000"/>
          <w:szCs w:val="18"/>
        </w:rPr>
        <w:t>δ</w:t>
      </w:r>
      <w:r w:rsidR="005E21BB" w:rsidRPr="00980136">
        <w:rPr>
          <w:color w:val="000000"/>
          <w:szCs w:val="12"/>
          <w:vertAlign w:val="superscript"/>
        </w:rPr>
        <w:t>11</w:t>
      </w:r>
      <w:r w:rsidR="005E21BB" w:rsidRPr="00D20154">
        <w:rPr>
          <w:color w:val="000000"/>
          <w:szCs w:val="18"/>
        </w:rPr>
        <w:t>B</w:t>
      </w:r>
      <w:r w:rsidR="005E21BB">
        <w:rPr>
          <w:color w:val="000000"/>
          <w:szCs w:val="18"/>
          <w:vertAlign w:val="subscript"/>
        </w:rPr>
        <w:t>sw</w:t>
      </w:r>
      <w:r w:rsidR="005E21BB">
        <w:rPr>
          <w:color w:val="000000"/>
          <w:szCs w:val="18"/>
        </w:rPr>
        <w:t xml:space="preserve"> is dominated by the uncertainty in the </w:t>
      </w:r>
      <w:r w:rsidR="005E21BB" w:rsidRPr="005E21BB">
        <w:rPr>
          <w:color w:val="000000"/>
          <w:szCs w:val="18"/>
        </w:rPr>
        <w:t>δ</w:t>
      </w:r>
      <w:r w:rsidR="005E21BB" w:rsidRPr="005E21BB">
        <w:rPr>
          <w:color w:val="000000"/>
          <w:szCs w:val="12"/>
          <w:vertAlign w:val="superscript"/>
        </w:rPr>
        <w:t>11</w:t>
      </w:r>
      <w:r w:rsidR="005E21BB" w:rsidRPr="005E21BB">
        <w:rPr>
          <w:color w:val="000000"/>
          <w:szCs w:val="18"/>
        </w:rPr>
        <w:t>B</w:t>
      </w:r>
      <w:r w:rsidR="005E21BB">
        <w:rPr>
          <w:color w:val="000000"/>
          <w:szCs w:val="18"/>
        </w:rPr>
        <w:t xml:space="preserve"> measurement and the</w:t>
      </w:r>
      <w:r w:rsidR="005E54C7">
        <w:rPr>
          <w:color w:val="000000"/>
          <w:szCs w:val="18"/>
        </w:rPr>
        <w:t xml:space="preserve"> estimate of the</w:t>
      </w:r>
      <w:r w:rsidR="005E21BB">
        <w:rPr>
          <w:color w:val="000000"/>
          <w:szCs w:val="18"/>
        </w:rPr>
        <w:t xml:space="preserve"> pH gradient.</w:t>
      </w:r>
      <w:r w:rsidR="005E21BB">
        <w:t xml:space="preserve"> </w:t>
      </w:r>
    </w:p>
    <w:p w14:paraId="76864EBE" w14:textId="4272FC34" w:rsidR="00EE6940" w:rsidRPr="006C08BC" w:rsidRDefault="00961950" w:rsidP="00D905E9">
      <w:pPr>
        <w:widowControl w:val="0"/>
        <w:autoSpaceDE w:val="0"/>
        <w:autoSpaceDN w:val="0"/>
        <w:adjustRightInd w:val="0"/>
        <w:spacing w:after="240"/>
        <w:rPr>
          <w:rFonts w:eastAsiaTheme="minorEastAsia" w:cs="Times"/>
          <w:lang w:val="en-US" w:eastAsia="ja-JP"/>
        </w:rPr>
      </w:pPr>
      <w:r>
        <w:rPr>
          <w:color w:val="000000"/>
          <w:lang w:val="en-US"/>
        </w:rPr>
        <w:t xml:space="preserve">The majority of the </w:t>
      </w:r>
      <w:r w:rsidRPr="00977522">
        <w:rPr>
          <w:rFonts w:ascii="Times New Roman" w:hAnsi="Times New Roman"/>
          <w:color w:val="000000"/>
          <w:lang w:val="en-US"/>
        </w:rPr>
        <w:t>δ</w:t>
      </w:r>
      <w:r w:rsidRPr="00977522">
        <w:rPr>
          <w:color w:val="000000"/>
          <w:vertAlign w:val="superscript"/>
          <w:lang w:val="en-US"/>
        </w:rPr>
        <w:t>1</w:t>
      </w:r>
      <w:r>
        <w:rPr>
          <w:color w:val="000000"/>
          <w:vertAlign w:val="superscript"/>
          <w:lang w:val="en-US"/>
        </w:rPr>
        <w:t>3</w:t>
      </w:r>
      <w:r>
        <w:rPr>
          <w:color w:val="000000"/>
          <w:lang w:val="en-US"/>
        </w:rPr>
        <w:t>C data</w:t>
      </w:r>
      <w:r>
        <w:t xml:space="preserve"> were measured at Cardiff University on a ThermoFinnigan MAT 252 coupled with a Kiel III carbonate device for automated sample preparation. Additional samples were measured </w:t>
      </w:r>
      <w:r>
        <w:rPr>
          <w:color w:val="000000"/>
        </w:rPr>
        <w:t xml:space="preserve">on </w:t>
      </w:r>
      <w:r>
        <w:t xml:space="preserve">a gas source mass spectrometer </w:t>
      </w:r>
      <w:r w:rsidRPr="00446285">
        <w:t xml:space="preserve">Europa GEO </w:t>
      </w:r>
      <w:r w:rsidRPr="00F109AD">
        <w:t>20-20, University of Southampton equipped with automated carbonate preparation de</w:t>
      </w:r>
      <w:r>
        <w:t xml:space="preserve">vice </w:t>
      </w:r>
      <w:r w:rsidRPr="00F109AD">
        <w:t xml:space="preserve">and on a </w:t>
      </w:r>
      <w:r w:rsidRPr="00F109AD">
        <w:rPr>
          <w:lang w:val="en-US"/>
        </w:rPr>
        <w:t>Finnigan MAT 253 gas isotope ratio mass spectrometer connected to a Kiel IV automated carbonate preparation device at the Zentrum für Marine Tropenökologie (ZMT), Bremen</w:t>
      </w:r>
      <w:r w:rsidRPr="00F109AD">
        <w:t>.</w:t>
      </w:r>
      <w:r>
        <w:t xml:space="preserve"> </w:t>
      </w:r>
      <w:r w:rsidR="005E21BB">
        <w:t>T</w:t>
      </w:r>
      <w:r>
        <w:t xml:space="preserve">he Pliocene benthic </w:t>
      </w:r>
      <w:r w:rsidRPr="00446285">
        <w:rPr>
          <w:rFonts w:ascii="Times New Roman" w:hAnsi="Times New Roman"/>
        </w:rPr>
        <w:t>δ</w:t>
      </w:r>
      <w:r w:rsidRPr="00446285">
        <w:rPr>
          <w:vertAlign w:val="superscript"/>
        </w:rPr>
        <w:t>13</w:t>
      </w:r>
      <w:r w:rsidRPr="00446285">
        <w:t>C</w:t>
      </w:r>
      <w:r>
        <w:t xml:space="preserve"> from Site 999 </w:t>
      </w:r>
      <w:r w:rsidR="004149F8">
        <w:t xml:space="preserve">were </w:t>
      </w:r>
      <w:r>
        <w:t xml:space="preserve">taken from the nearest sample in </w:t>
      </w:r>
      <w:r>
        <w:rPr>
          <w:noProof/>
        </w:rPr>
        <w:t>Haug and Tiedemann, (1998)</w:t>
      </w:r>
      <w:r w:rsidR="005E21BB">
        <w:rPr>
          <w:noProof/>
        </w:rPr>
        <w:t>.</w:t>
      </w:r>
      <w:r w:rsidR="006C08BC">
        <w:rPr>
          <w:noProof/>
        </w:rPr>
        <w:t xml:space="preserve"> </w:t>
      </w:r>
      <w:r w:rsidR="006C08BC" w:rsidRPr="00811286">
        <w:rPr>
          <w:rFonts w:ascii="Times New Roman" w:eastAsiaTheme="minorEastAsia" w:hAnsi="Times New Roman"/>
          <w:lang w:val="en-US" w:eastAsia="ja-JP"/>
        </w:rPr>
        <w:t xml:space="preserve">In almost all cases </w:t>
      </w:r>
      <w:r w:rsidR="006C08BC" w:rsidRPr="00811286">
        <w:rPr>
          <w:rFonts w:ascii="Times New Roman" w:hAnsi="Times New Roman"/>
        </w:rPr>
        <w:t>δ</w:t>
      </w:r>
      <w:r w:rsidR="006C08BC" w:rsidRPr="00811286">
        <w:rPr>
          <w:vertAlign w:val="superscript"/>
        </w:rPr>
        <w:t>13</w:t>
      </w:r>
      <w:r w:rsidR="006C08BC" w:rsidRPr="00811286">
        <w:t>C</w:t>
      </w:r>
      <w:r w:rsidR="006C08BC" w:rsidRPr="00811286">
        <w:rPr>
          <w:rFonts w:ascii="Times New Roman" w:eastAsiaTheme="minorEastAsia" w:hAnsi="Times New Roman"/>
          <w:lang w:val="en-US" w:eastAsia="ja-JP"/>
        </w:rPr>
        <w:t xml:space="preserve"> was analysed on the same foraminifera</w:t>
      </w:r>
      <w:r w:rsidR="005A4F65">
        <w:rPr>
          <w:rFonts w:ascii="Times New Roman" w:eastAsiaTheme="minorEastAsia" w:hAnsi="Times New Roman"/>
          <w:lang w:val="en-US" w:eastAsia="ja-JP"/>
        </w:rPr>
        <w:t xml:space="preserve">l species as </w:t>
      </w:r>
      <w:r w:rsidR="005A4F65" w:rsidRPr="00811286">
        <w:rPr>
          <w:rFonts w:ascii="Times New Roman" w:hAnsi="Times New Roman"/>
        </w:rPr>
        <w:t>δ</w:t>
      </w:r>
      <w:r w:rsidR="005A4F65" w:rsidRPr="00811286">
        <w:rPr>
          <w:vertAlign w:val="superscript"/>
        </w:rPr>
        <w:t>1</w:t>
      </w:r>
      <w:r w:rsidR="005A4F65">
        <w:rPr>
          <w:vertAlign w:val="superscript"/>
        </w:rPr>
        <w:t>1</w:t>
      </w:r>
      <w:r w:rsidR="005A4F65">
        <w:t>B and Mg/Ca</w:t>
      </w:r>
      <w:r w:rsidR="002D526E">
        <w:rPr>
          <w:rFonts w:ascii="Times New Roman" w:eastAsiaTheme="minorEastAsia" w:hAnsi="Times New Roman"/>
          <w:lang w:val="en-US" w:eastAsia="ja-JP"/>
        </w:rPr>
        <w:t xml:space="preserve"> (38/44 samples)</w:t>
      </w:r>
      <w:r w:rsidR="006C08BC" w:rsidRPr="00811286">
        <w:rPr>
          <w:rFonts w:ascii="Times New Roman" w:eastAsiaTheme="minorEastAsia" w:hAnsi="Times New Roman"/>
          <w:lang w:val="en-US" w:eastAsia="ja-JP"/>
        </w:rPr>
        <w:t>. Where this was not possible another surface dweller/benthic foraminifera was used from the same depth habitat.</w:t>
      </w:r>
      <w:r w:rsidR="003D6460" w:rsidRPr="00811286">
        <w:rPr>
          <w:rFonts w:ascii="Times New Roman" w:eastAsiaTheme="minorEastAsia" w:hAnsi="Times New Roman"/>
          <w:lang w:val="en-US" w:eastAsia="ja-JP"/>
        </w:rPr>
        <w:t xml:space="preserve"> </w:t>
      </w:r>
      <w:r w:rsidR="003D6460" w:rsidRPr="00811286">
        <w:rPr>
          <w:rFonts w:ascii="Times New Roman" w:eastAsiaTheme="minorEastAsia" w:hAnsi="Times New Roman"/>
          <w:i/>
          <w:iCs/>
          <w:lang w:val="en-US" w:eastAsia="ja-JP"/>
        </w:rPr>
        <w:t xml:space="preserve">C. </w:t>
      </w:r>
      <w:r w:rsidR="00A32BE2">
        <w:rPr>
          <w:rFonts w:ascii="Times New Roman" w:eastAsiaTheme="minorEastAsia" w:hAnsi="Times New Roman"/>
          <w:i/>
          <w:iCs/>
          <w:lang w:val="en-US" w:eastAsia="ja-JP"/>
        </w:rPr>
        <w:t xml:space="preserve">wuellerstorfi </w:t>
      </w:r>
      <w:r w:rsidR="003D6460" w:rsidRPr="00811286">
        <w:rPr>
          <w:rFonts w:ascii="Times New Roman" w:eastAsiaTheme="minorEastAsia" w:hAnsi="Times New Roman"/>
          <w:lang w:val="en-US" w:eastAsia="ja-JP"/>
        </w:rPr>
        <w:t xml:space="preserve">or </w:t>
      </w:r>
      <w:r w:rsidR="003D6460" w:rsidRPr="00811286">
        <w:rPr>
          <w:rFonts w:ascii="Times New Roman" w:eastAsiaTheme="minorEastAsia" w:hAnsi="Times New Roman"/>
          <w:i/>
          <w:iCs/>
          <w:lang w:val="en-US" w:eastAsia="ja-JP"/>
        </w:rPr>
        <w:t xml:space="preserve">C. mundulus </w:t>
      </w:r>
      <w:r w:rsidR="003D6460" w:rsidRPr="00811286">
        <w:rPr>
          <w:rFonts w:ascii="Times New Roman" w:eastAsiaTheme="minorEastAsia" w:hAnsi="Times New Roman"/>
          <w:iCs/>
          <w:lang w:val="en-US" w:eastAsia="ja-JP"/>
        </w:rPr>
        <w:t xml:space="preserve">were measured in all cases for benthic </w:t>
      </w:r>
      <w:r w:rsidR="003D6460" w:rsidRPr="00811286">
        <w:rPr>
          <w:rFonts w:ascii="Times New Roman" w:hAnsi="Times New Roman"/>
        </w:rPr>
        <w:t>δ</w:t>
      </w:r>
      <w:r w:rsidR="003D6460" w:rsidRPr="00811286">
        <w:rPr>
          <w:rFonts w:ascii="Times New Roman" w:hAnsi="Times New Roman"/>
          <w:vertAlign w:val="superscript"/>
        </w:rPr>
        <w:t>13</w:t>
      </w:r>
      <w:r w:rsidR="003D6460" w:rsidRPr="00811286">
        <w:rPr>
          <w:rFonts w:ascii="Times New Roman" w:hAnsi="Times New Roman"/>
        </w:rPr>
        <w:t xml:space="preserve">C. </w:t>
      </w:r>
      <w:r w:rsidRPr="00811286">
        <w:t>Stable isotope results are reported relative to the Vienna Peedee belemnite (VPDB) standard.</w:t>
      </w:r>
      <w:r w:rsidRPr="00811286">
        <w:rPr>
          <w:lang w:val="en-US"/>
        </w:rPr>
        <w:t xml:space="preserve"> </w:t>
      </w:r>
      <w:r w:rsidR="006C08BC" w:rsidRPr="00811286">
        <w:rPr>
          <w:rFonts w:ascii="Times New Roman" w:eastAsiaTheme="minorEastAsia" w:hAnsi="Times New Roman"/>
          <w:lang w:val="en-US" w:eastAsia="ja-JP"/>
        </w:rPr>
        <w:t>We use a carbon isotope vital effect for</w:t>
      </w:r>
      <w:r w:rsidR="006C08BC" w:rsidRPr="00811286">
        <w:rPr>
          <w:rFonts w:ascii="Helvetica" w:eastAsiaTheme="minorEastAsia" w:hAnsi="Helvetica" w:cs="Helvetica"/>
          <w:sz w:val="32"/>
          <w:szCs w:val="32"/>
          <w:lang w:val="en-US" w:eastAsia="ja-JP"/>
        </w:rPr>
        <w:t xml:space="preserve"> </w:t>
      </w:r>
      <w:r w:rsidRPr="00811286">
        <w:rPr>
          <w:i/>
          <w:lang w:val="en-US"/>
        </w:rPr>
        <w:t xml:space="preserve">G. ruber </w:t>
      </w:r>
      <w:r w:rsidRPr="00811286">
        <w:rPr>
          <w:lang w:val="en-US"/>
        </w:rPr>
        <w:t>(</w:t>
      </w:r>
      <w:r w:rsidRPr="00811286">
        <w:rPr>
          <w:i/>
          <w:lang w:val="en-US"/>
        </w:rPr>
        <w:t>+</w:t>
      </w:r>
      <w:r w:rsidRPr="00811286">
        <w:rPr>
          <w:lang w:val="en-US"/>
        </w:rPr>
        <w:t xml:space="preserve">0.94 </w:t>
      </w:r>
      <w:r w:rsidRPr="00811286">
        <w:rPr>
          <w:rStyle w:val="st"/>
        </w:rPr>
        <w:t>‰</w:t>
      </w:r>
      <w:r w:rsidRPr="00811286">
        <w:rPr>
          <w:lang w:val="en-US"/>
        </w:rPr>
        <w:t xml:space="preserve">; </w:t>
      </w:r>
      <w:r w:rsidRPr="00811286">
        <w:rPr>
          <w:noProof/>
          <w:lang w:val="en-US"/>
        </w:rPr>
        <w:t>Spero et al., 2003</w:t>
      </w:r>
      <w:r w:rsidRPr="00811286">
        <w:rPr>
          <w:lang w:val="en-US"/>
        </w:rPr>
        <w:t xml:space="preserve">), </w:t>
      </w:r>
      <w:r w:rsidR="00440DCB" w:rsidRPr="00811286">
        <w:rPr>
          <w:i/>
          <w:lang w:val="en-US"/>
        </w:rPr>
        <w:t>T</w:t>
      </w:r>
      <w:r w:rsidR="009931F8" w:rsidRPr="00811286">
        <w:rPr>
          <w:i/>
          <w:lang w:val="en-US"/>
        </w:rPr>
        <w:t xml:space="preserve">. </w:t>
      </w:r>
      <w:r w:rsidR="00440DCB" w:rsidRPr="00811286">
        <w:rPr>
          <w:i/>
          <w:lang w:val="en-US"/>
        </w:rPr>
        <w:t>sacculifer</w:t>
      </w:r>
      <w:r>
        <w:rPr>
          <w:i/>
          <w:color w:val="000000"/>
          <w:lang w:val="en-US"/>
        </w:rPr>
        <w:t>/G. praebulloides</w:t>
      </w:r>
      <w:r>
        <w:rPr>
          <w:color w:val="000000"/>
          <w:lang w:val="en-US"/>
        </w:rPr>
        <w:t xml:space="preserve"> (+0.46 </w:t>
      </w:r>
      <w:r>
        <w:rPr>
          <w:rStyle w:val="st"/>
        </w:rPr>
        <w:t>‰</w:t>
      </w:r>
      <w:r>
        <w:rPr>
          <w:color w:val="000000"/>
          <w:lang w:val="en-US"/>
        </w:rPr>
        <w:t xml:space="preserve">; </w:t>
      </w:r>
      <w:r>
        <w:rPr>
          <w:noProof/>
          <w:color w:val="000000"/>
          <w:lang w:val="en-US"/>
        </w:rPr>
        <w:t>Spero et al., 2003; Al-Rousan et al., 2004;</w:t>
      </w:r>
      <w:r>
        <w:rPr>
          <w:color w:val="000000"/>
          <w:lang w:val="en-US"/>
        </w:rPr>
        <w:t>)</w:t>
      </w:r>
      <w:r w:rsidR="00460FDB">
        <w:rPr>
          <w:color w:val="000000"/>
          <w:lang w:val="en-US"/>
        </w:rPr>
        <w:t>,</w:t>
      </w:r>
      <w:r>
        <w:rPr>
          <w:color w:val="000000"/>
          <w:lang w:val="en-US"/>
        </w:rPr>
        <w:t xml:space="preserve"> </w:t>
      </w:r>
      <w:r>
        <w:rPr>
          <w:i/>
          <w:color w:val="000000"/>
          <w:lang w:val="en-US"/>
        </w:rPr>
        <w:t>C. mundulus</w:t>
      </w:r>
      <w:r>
        <w:rPr>
          <w:color w:val="000000"/>
          <w:lang w:val="en-US"/>
        </w:rPr>
        <w:t xml:space="preserve"> (+0.47 </w:t>
      </w:r>
      <w:r>
        <w:rPr>
          <w:rStyle w:val="st"/>
        </w:rPr>
        <w:t>‰</w:t>
      </w:r>
      <w:r>
        <w:rPr>
          <w:color w:val="000000"/>
          <w:lang w:val="en-US"/>
        </w:rPr>
        <w:t xml:space="preserve">; </w:t>
      </w:r>
      <w:r>
        <w:rPr>
          <w:noProof/>
          <w:color w:val="000000"/>
          <w:lang w:val="en-US"/>
        </w:rPr>
        <w:t>McCorkle et al., 1997)</w:t>
      </w:r>
      <w:r w:rsidR="00460FDB">
        <w:rPr>
          <w:noProof/>
          <w:color w:val="000000"/>
          <w:lang w:val="en-US"/>
        </w:rPr>
        <w:t xml:space="preserve"> and </w:t>
      </w:r>
      <w:r w:rsidR="00460FDB">
        <w:rPr>
          <w:i/>
          <w:noProof/>
          <w:color w:val="000000"/>
          <w:lang w:val="en-US"/>
        </w:rPr>
        <w:t xml:space="preserve">C. </w:t>
      </w:r>
      <w:r w:rsidR="00A32BE2">
        <w:rPr>
          <w:i/>
        </w:rPr>
        <w:t xml:space="preserve">wuellerstorfi </w:t>
      </w:r>
      <w:r w:rsidR="00460FDB">
        <w:rPr>
          <w:color w:val="000000"/>
          <w:lang w:val="en-US"/>
        </w:rPr>
        <w:t xml:space="preserve">(+0.1 </w:t>
      </w:r>
      <w:r w:rsidR="00460FDB">
        <w:rPr>
          <w:rStyle w:val="st"/>
        </w:rPr>
        <w:t>‰</w:t>
      </w:r>
      <w:r w:rsidR="00460FDB">
        <w:rPr>
          <w:color w:val="000000"/>
          <w:lang w:val="en-US"/>
        </w:rPr>
        <w:t xml:space="preserve">; </w:t>
      </w:r>
      <w:r w:rsidR="00460FDB">
        <w:rPr>
          <w:noProof/>
          <w:color w:val="000000"/>
          <w:lang w:val="en-US"/>
        </w:rPr>
        <w:t xml:space="preserve">McCorkle et al., 1997) </w:t>
      </w:r>
      <w:r>
        <w:rPr>
          <w:color w:val="000000"/>
          <w:lang w:val="en-US"/>
        </w:rPr>
        <w:t xml:space="preserve">to calculate the </w:t>
      </w:r>
      <w:r w:rsidRPr="00446285">
        <w:rPr>
          <w:rFonts w:ascii="Times New Roman" w:hAnsi="Times New Roman"/>
        </w:rPr>
        <w:t>δ</w:t>
      </w:r>
      <w:r w:rsidRPr="00446285">
        <w:rPr>
          <w:vertAlign w:val="superscript"/>
        </w:rPr>
        <w:t>13</w:t>
      </w:r>
      <w:r w:rsidRPr="00446285">
        <w:t>C</w:t>
      </w:r>
      <w:bookmarkStart w:id="6" w:name="_Toc287775651"/>
      <w:r w:rsidR="00EE6940">
        <w:t xml:space="preserve"> of </w:t>
      </w:r>
      <w:r w:rsidR="00CF399D">
        <w:t>dissolved inorganic carbon (</w:t>
      </w:r>
      <w:r w:rsidR="00EE6940">
        <w:t>DIC</w:t>
      </w:r>
      <w:r w:rsidR="00CF399D">
        <w:t>)</w:t>
      </w:r>
      <w:r w:rsidR="00EE6940">
        <w:t xml:space="preserve">. </w:t>
      </w:r>
    </w:p>
    <w:p w14:paraId="56FBFD96" w14:textId="4B3E5395" w:rsidR="007B11D0" w:rsidRPr="00FA27A7" w:rsidRDefault="00FA27A7" w:rsidP="00FA27A7">
      <w:pPr>
        <w:pStyle w:val="Heading3"/>
        <w:numPr>
          <w:ilvl w:val="1"/>
          <w:numId w:val="28"/>
        </w:numPr>
      </w:pPr>
      <w:r>
        <w:rPr>
          <w:rFonts w:ascii="Times New Roman" w:eastAsiaTheme="minorEastAsia" w:hAnsi="Times New Roman" w:cs="Times New Roman"/>
          <w:lang w:val="en-US" w:eastAsia="ja-JP"/>
        </w:rPr>
        <w:t>C</w:t>
      </w:r>
      <w:r w:rsidRPr="00FA27A7">
        <w:rPr>
          <w:rFonts w:ascii="Times New Roman" w:eastAsiaTheme="minorEastAsia" w:hAnsi="Times New Roman" w:cs="Times New Roman"/>
          <w:lang w:val="en-US" w:eastAsia="ja-JP"/>
        </w:rPr>
        <w:t>arbon isotopes as a proxy for vertical ocean pH gradient</w:t>
      </w:r>
    </w:p>
    <w:p w14:paraId="75C544C3" w14:textId="62BE8F9D" w:rsidR="007B11D0" w:rsidRPr="005E54C7" w:rsidRDefault="007B11D0" w:rsidP="007B11D0">
      <w:pPr>
        <w:rPr>
          <w:color w:val="000000"/>
          <w:lang w:val="en-US"/>
        </w:rPr>
      </w:pPr>
      <w:r>
        <w:t>The use of</w:t>
      </w:r>
      <w:r w:rsidRPr="00E50386">
        <w:t xml:space="preserve"> </w:t>
      </w:r>
      <w:r w:rsidRPr="00E50386">
        <w:sym w:font="Symbol" w:char="F064"/>
      </w:r>
      <w:r w:rsidRPr="005E54C7">
        <w:rPr>
          <w:vertAlign w:val="superscript"/>
        </w:rPr>
        <w:t>13</w:t>
      </w:r>
      <w:r w:rsidRPr="00E50386">
        <w:t xml:space="preserve">C </w:t>
      </w:r>
      <w:r>
        <w:t>in</w:t>
      </w:r>
      <w:r w:rsidRPr="00E50386">
        <w:t xml:space="preserve"> foraminiferal calcite to estimate the </w:t>
      </w:r>
      <w:r>
        <w:t>surface to deep pH gradient requires knowledge of the slope of the pH-</w:t>
      </w:r>
      <w:r w:rsidRPr="00D20154">
        <w:rPr>
          <w:color w:val="000000"/>
          <w:szCs w:val="18"/>
        </w:rPr>
        <w:t>δ</w:t>
      </w:r>
      <w:r w:rsidRPr="00980136">
        <w:rPr>
          <w:color w:val="000000"/>
          <w:szCs w:val="12"/>
          <w:vertAlign w:val="superscript"/>
        </w:rPr>
        <w:t>1</w:t>
      </w:r>
      <w:r>
        <w:rPr>
          <w:color w:val="000000"/>
          <w:szCs w:val="12"/>
          <w:vertAlign w:val="superscript"/>
        </w:rPr>
        <w:t>3</w:t>
      </w:r>
      <w:r>
        <w:rPr>
          <w:color w:val="000000"/>
          <w:szCs w:val="18"/>
        </w:rPr>
        <w:t>C</w:t>
      </w:r>
      <w:r>
        <w:t xml:space="preserve"> relationship in the past</w:t>
      </w:r>
      <w:r w:rsidRPr="00E50386">
        <w:t xml:space="preserve">. </w:t>
      </w:r>
      <w:r>
        <w:t>In this section we briefly outline the main factors that contribute to the pH-</w:t>
      </w:r>
      <w:r w:rsidRPr="00D20154">
        <w:rPr>
          <w:color w:val="000000"/>
          <w:szCs w:val="18"/>
        </w:rPr>
        <w:t>δ</w:t>
      </w:r>
      <w:r w:rsidRPr="00980136">
        <w:rPr>
          <w:color w:val="000000"/>
          <w:szCs w:val="12"/>
          <w:vertAlign w:val="superscript"/>
        </w:rPr>
        <w:t>1</w:t>
      </w:r>
      <w:r>
        <w:rPr>
          <w:color w:val="000000"/>
          <w:szCs w:val="12"/>
          <w:vertAlign w:val="superscript"/>
        </w:rPr>
        <w:t>3</w:t>
      </w:r>
      <w:r>
        <w:rPr>
          <w:color w:val="000000"/>
          <w:szCs w:val="18"/>
        </w:rPr>
        <w:t>C</w:t>
      </w:r>
      <w:r>
        <w:t xml:space="preserve"> relationship in order to underpin our analysis of extensive carbon cycle model simulations.</w:t>
      </w:r>
    </w:p>
    <w:p w14:paraId="2BEBE194" w14:textId="693BFA62" w:rsidR="007B11D0" w:rsidRPr="0026598C" w:rsidRDefault="007B11D0" w:rsidP="007B11D0">
      <w:pPr>
        <w:rPr>
          <w:color w:val="000000"/>
          <w:lang w:val="en-US"/>
        </w:rPr>
      </w:pPr>
      <w:r>
        <w:rPr>
          <w:rFonts w:ascii="Times New Roman" w:hAnsi="Times New Roman"/>
          <w:color w:val="000000"/>
          <w:lang w:val="en-US"/>
        </w:rPr>
        <w:t xml:space="preserve">The production, sinking and sequestration into the ocean interior of </w:t>
      </w:r>
      <w:r>
        <w:rPr>
          <w:color w:val="000000"/>
          <w:lang w:val="en-US"/>
        </w:rPr>
        <w:t>low-</w:t>
      </w:r>
      <w:r w:rsidRPr="00D20154">
        <w:rPr>
          <w:color w:val="000000"/>
          <w:szCs w:val="18"/>
        </w:rPr>
        <w:t>δ</w:t>
      </w:r>
      <w:r w:rsidRPr="00980136">
        <w:rPr>
          <w:color w:val="000000"/>
          <w:szCs w:val="12"/>
          <w:vertAlign w:val="superscript"/>
        </w:rPr>
        <w:t>1</w:t>
      </w:r>
      <w:r>
        <w:rPr>
          <w:color w:val="000000"/>
          <w:szCs w:val="12"/>
          <w:vertAlign w:val="superscript"/>
        </w:rPr>
        <w:t>3</w:t>
      </w:r>
      <w:r>
        <w:rPr>
          <w:color w:val="000000"/>
          <w:szCs w:val="18"/>
        </w:rPr>
        <w:t>C</w:t>
      </w:r>
      <w:r w:rsidRPr="0026598C">
        <w:rPr>
          <w:color w:val="000000"/>
          <w:lang w:val="en-US"/>
        </w:rPr>
        <w:t xml:space="preserve"> organic</w:t>
      </w:r>
      <w:r>
        <w:rPr>
          <w:color w:val="000000"/>
          <w:lang w:val="en-US"/>
        </w:rPr>
        <w:t xml:space="preserve"> </w:t>
      </w:r>
      <w:r w:rsidRPr="0026598C">
        <w:rPr>
          <w:color w:val="000000"/>
          <w:lang w:val="en-US"/>
        </w:rPr>
        <w:t>carbon</w:t>
      </w:r>
      <w:r>
        <w:rPr>
          <w:color w:val="000000"/>
          <w:lang w:val="en-US"/>
        </w:rPr>
        <w:t xml:space="preserve"> via the soft-tissue component of the biological pump leads to</w:t>
      </w:r>
      <w:r w:rsidR="003D6460">
        <w:rPr>
          <w:color w:val="000000"/>
          <w:lang w:val="en-US"/>
        </w:rPr>
        <w:t xml:space="preserve"> a</w:t>
      </w:r>
      <w:r>
        <w:rPr>
          <w:color w:val="000000"/>
          <w:lang w:val="en-US"/>
        </w:rPr>
        <w:t xml:space="preserve"> broad correlation between</w:t>
      </w:r>
      <w:r>
        <w:rPr>
          <w:rFonts w:ascii="Times New Roman" w:hAnsi="Times New Roman"/>
          <w:color w:val="000000"/>
          <w:lang w:val="en-US"/>
        </w:rPr>
        <w:t xml:space="preserve"> </w:t>
      </w:r>
      <w:r w:rsidRPr="0026598C">
        <w:rPr>
          <w:rFonts w:ascii="Symbol" w:hAnsi="Symbol"/>
          <w:color w:val="000000"/>
          <w:lang w:val="en-US"/>
        </w:rPr>
        <w:t></w:t>
      </w:r>
      <w:r w:rsidRPr="0026598C">
        <w:rPr>
          <w:color w:val="000000"/>
          <w:vertAlign w:val="superscript"/>
          <w:lang w:val="en-US"/>
        </w:rPr>
        <w:t>13</w:t>
      </w:r>
      <w:r w:rsidRPr="0026598C">
        <w:rPr>
          <w:color w:val="000000"/>
          <w:lang w:val="en-US"/>
        </w:rPr>
        <w:t>C</w:t>
      </w:r>
      <w:r>
        <w:rPr>
          <w:color w:val="000000"/>
          <w:lang w:val="en-US"/>
        </w:rPr>
        <w:t xml:space="preserve">, </w:t>
      </w:r>
      <w:r w:rsidRPr="0026598C">
        <w:rPr>
          <w:color w:val="000000"/>
          <w:lang w:val="en-US"/>
        </w:rPr>
        <w:t>[CO</w:t>
      </w:r>
      <w:r w:rsidRPr="0026598C">
        <w:rPr>
          <w:color w:val="000000"/>
          <w:vertAlign w:val="subscript"/>
          <w:lang w:val="en-US"/>
        </w:rPr>
        <w:t>3</w:t>
      </w:r>
      <w:r w:rsidRPr="0026598C">
        <w:rPr>
          <w:color w:val="000000"/>
          <w:vertAlign w:val="superscript"/>
          <w:lang w:val="en-US"/>
        </w:rPr>
        <w:t>2-</w:t>
      </w:r>
      <w:r w:rsidRPr="0026598C">
        <w:rPr>
          <w:color w:val="000000"/>
          <w:lang w:val="en-US"/>
        </w:rPr>
        <w:t xml:space="preserve">] and </w:t>
      </w:r>
      <w:r w:rsidR="00CF399D">
        <w:rPr>
          <w:color w:val="000000"/>
          <w:lang w:val="en-US"/>
        </w:rPr>
        <w:t>macro</w:t>
      </w:r>
      <w:r w:rsidRPr="0026598C">
        <w:rPr>
          <w:color w:val="000000"/>
          <w:lang w:val="en-US"/>
        </w:rPr>
        <w:t>nutrients in the ocean</w:t>
      </w:r>
      <w:r w:rsidR="00520EA1">
        <w:rPr>
          <w:color w:val="000000"/>
          <w:lang w:val="en-US"/>
        </w:rPr>
        <w:t xml:space="preserve"> (e.g., Hain et al., 2014a)</w:t>
      </w:r>
      <w:r>
        <w:rPr>
          <w:color w:val="000000"/>
          <w:lang w:val="en-US"/>
        </w:rPr>
        <w:t>. The remineralization of this organic matter</w:t>
      </w:r>
      <w:r w:rsidRPr="0026598C">
        <w:rPr>
          <w:color w:val="000000"/>
          <w:lang w:val="en-US"/>
        </w:rPr>
        <w:t xml:space="preserve"> </w:t>
      </w:r>
      <w:r>
        <w:rPr>
          <w:color w:val="000000"/>
          <w:lang w:val="en-US"/>
        </w:rPr>
        <w:t>decreases</w:t>
      </w:r>
      <w:r w:rsidRPr="0026598C">
        <w:rPr>
          <w:color w:val="000000"/>
          <w:lang w:val="en-US"/>
        </w:rPr>
        <w:t xml:space="preserve"> </w:t>
      </w:r>
      <w:r w:rsidRPr="0026598C">
        <w:rPr>
          <w:rFonts w:ascii="Symbol" w:hAnsi="Symbol"/>
          <w:color w:val="000000"/>
          <w:lang w:val="en-US"/>
        </w:rPr>
        <w:t></w:t>
      </w:r>
      <w:r w:rsidRPr="0026598C">
        <w:rPr>
          <w:color w:val="000000"/>
          <w:vertAlign w:val="superscript"/>
          <w:lang w:val="en-US"/>
        </w:rPr>
        <w:t>13</w:t>
      </w:r>
      <w:r w:rsidRPr="0026598C">
        <w:rPr>
          <w:color w:val="000000"/>
          <w:lang w:val="en-US"/>
        </w:rPr>
        <w:t xml:space="preserve">C and </w:t>
      </w:r>
      <w:r>
        <w:rPr>
          <w:color w:val="000000"/>
          <w:lang w:val="en-US"/>
        </w:rPr>
        <w:t xml:space="preserve">titrates </w:t>
      </w:r>
      <w:r w:rsidRPr="0026598C">
        <w:rPr>
          <w:color w:val="000000"/>
          <w:lang w:val="en-US"/>
        </w:rPr>
        <w:t>[CO</w:t>
      </w:r>
      <w:r w:rsidRPr="0026598C">
        <w:rPr>
          <w:color w:val="000000"/>
          <w:vertAlign w:val="subscript"/>
          <w:lang w:val="en-US"/>
        </w:rPr>
        <w:t>3</w:t>
      </w:r>
      <w:r w:rsidRPr="0026598C">
        <w:rPr>
          <w:color w:val="000000"/>
          <w:vertAlign w:val="superscript"/>
          <w:lang w:val="en-US"/>
        </w:rPr>
        <w:t>2-</w:t>
      </w:r>
      <w:r w:rsidRPr="0026598C">
        <w:rPr>
          <w:color w:val="000000"/>
          <w:lang w:val="en-US"/>
        </w:rPr>
        <w:t>]</w:t>
      </w:r>
      <w:r w:rsidR="00520EA1">
        <w:rPr>
          <w:color w:val="000000"/>
          <w:lang w:val="en-US"/>
        </w:rPr>
        <w:t xml:space="preserve"> thereby</w:t>
      </w:r>
      <w:r w:rsidRPr="0026598C">
        <w:rPr>
          <w:color w:val="000000"/>
          <w:lang w:val="en-US"/>
        </w:rPr>
        <w:t xml:space="preserve"> </w:t>
      </w:r>
      <w:r w:rsidR="00520EA1">
        <w:rPr>
          <w:color w:val="000000"/>
          <w:lang w:val="en-US"/>
        </w:rPr>
        <w:t>reducing</w:t>
      </w:r>
      <w:r w:rsidRPr="0026598C">
        <w:rPr>
          <w:color w:val="000000"/>
          <w:lang w:val="en-US"/>
        </w:rPr>
        <w:t xml:space="preserve"> pH, while nutrient concentrations are increased. In </w:t>
      </w:r>
      <w:r>
        <w:rPr>
          <w:color w:val="000000"/>
          <w:lang w:val="en-US"/>
        </w:rPr>
        <w:t xml:space="preserve">waters that have experienced </w:t>
      </w:r>
      <w:r w:rsidRPr="0026598C">
        <w:rPr>
          <w:color w:val="000000"/>
          <w:lang w:val="en-US"/>
        </w:rPr>
        <w:t>more soft tissue</w:t>
      </w:r>
      <w:r>
        <w:rPr>
          <w:color w:val="000000"/>
          <w:lang w:val="en-US"/>
        </w:rPr>
        <w:t xml:space="preserve"> </w:t>
      </w:r>
      <w:r w:rsidRPr="0026598C">
        <w:rPr>
          <w:color w:val="000000"/>
          <w:lang w:val="en-US"/>
        </w:rPr>
        <w:t>reminerali</w:t>
      </w:r>
      <w:r>
        <w:rPr>
          <w:color w:val="000000"/>
          <w:lang w:val="en-US"/>
        </w:rPr>
        <w:t>zation</w:t>
      </w:r>
      <w:r w:rsidRPr="0026598C">
        <w:rPr>
          <w:color w:val="000000"/>
          <w:lang w:val="en-US"/>
        </w:rPr>
        <w:t xml:space="preserve"> both pH and </w:t>
      </w:r>
      <w:r w:rsidRPr="0026598C">
        <w:rPr>
          <w:rFonts w:ascii="Symbol" w:hAnsi="Symbol"/>
          <w:color w:val="000000"/>
          <w:lang w:val="en-US"/>
        </w:rPr>
        <w:t></w:t>
      </w:r>
      <w:r w:rsidRPr="0026598C">
        <w:rPr>
          <w:color w:val="000000"/>
          <w:vertAlign w:val="superscript"/>
          <w:lang w:val="en-US"/>
        </w:rPr>
        <w:t>13</w:t>
      </w:r>
      <w:r w:rsidRPr="0026598C">
        <w:rPr>
          <w:color w:val="000000"/>
          <w:lang w:val="en-US"/>
        </w:rPr>
        <w:t>C will be lower</w:t>
      </w:r>
      <w:r>
        <w:rPr>
          <w:color w:val="000000"/>
          <w:lang w:val="en-US"/>
        </w:rPr>
        <w:t xml:space="preserve"> (Fig. </w:t>
      </w:r>
      <w:r w:rsidR="00321545">
        <w:rPr>
          <w:color w:val="000000"/>
          <w:lang w:val="en-US"/>
        </w:rPr>
        <w:t>5</w:t>
      </w:r>
      <w:r>
        <w:rPr>
          <w:color w:val="000000"/>
          <w:lang w:val="en-US"/>
        </w:rPr>
        <w:t>a,b)</w:t>
      </w:r>
      <w:r w:rsidRPr="0026598C">
        <w:rPr>
          <w:color w:val="000000"/>
          <w:lang w:val="en-US"/>
        </w:rPr>
        <w:t xml:space="preserve">, </w:t>
      </w:r>
      <w:r w:rsidR="00520EA1">
        <w:rPr>
          <w:color w:val="000000"/>
          <w:lang w:val="en-US"/>
        </w:rPr>
        <w:t xml:space="preserve">and this </w:t>
      </w:r>
      <w:r>
        <w:rPr>
          <w:color w:val="000000"/>
          <w:lang w:val="en-US"/>
        </w:rPr>
        <w:t xml:space="preserve">is the dominant </w:t>
      </w:r>
      <w:r w:rsidR="00520EA1">
        <w:rPr>
          <w:color w:val="000000"/>
          <w:lang w:val="en-US"/>
        </w:rPr>
        <w:t xml:space="preserve">reason </w:t>
      </w:r>
      <w:r>
        <w:rPr>
          <w:color w:val="000000"/>
          <w:lang w:val="en-US"/>
        </w:rPr>
        <w:t>for the</w:t>
      </w:r>
      <w:r w:rsidRPr="0026598C">
        <w:rPr>
          <w:color w:val="000000"/>
          <w:lang w:val="en-US"/>
        </w:rPr>
        <w:t xml:space="preserve"> positive slope between </w:t>
      </w:r>
      <w:r w:rsidRPr="0026598C">
        <w:rPr>
          <w:rFonts w:ascii="Symbol" w:hAnsi="Symbol"/>
          <w:color w:val="000000"/>
          <w:lang w:val="en-US"/>
        </w:rPr>
        <w:t></w:t>
      </w:r>
      <w:r w:rsidRPr="0026598C">
        <w:rPr>
          <w:color w:val="000000"/>
          <w:vertAlign w:val="superscript"/>
          <w:lang w:val="en-US"/>
        </w:rPr>
        <w:t>13</w:t>
      </w:r>
      <w:r w:rsidRPr="0026598C">
        <w:rPr>
          <w:color w:val="000000"/>
          <w:lang w:val="en-US"/>
        </w:rPr>
        <w:t>C and pH in the</w:t>
      </w:r>
      <w:r>
        <w:rPr>
          <w:color w:val="000000"/>
          <w:lang w:val="en-US"/>
        </w:rPr>
        <w:t xml:space="preserve"> modern</w:t>
      </w:r>
      <w:r w:rsidRPr="0026598C">
        <w:rPr>
          <w:color w:val="000000"/>
          <w:lang w:val="en-US"/>
        </w:rPr>
        <w:t xml:space="preserve"> ocean</w:t>
      </w:r>
      <w:r>
        <w:rPr>
          <w:color w:val="000000"/>
          <w:lang w:val="en-US"/>
        </w:rPr>
        <w:t xml:space="preserve"> (e.g., Foster et al., 2012; Fig. </w:t>
      </w:r>
      <w:r w:rsidR="00321545">
        <w:rPr>
          <w:color w:val="000000"/>
          <w:lang w:val="en-US"/>
        </w:rPr>
        <w:t>5</w:t>
      </w:r>
      <w:r>
        <w:rPr>
          <w:color w:val="000000"/>
          <w:lang w:val="en-US"/>
        </w:rPr>
        <w:t>c)</w:t>
      </w:r>
      <w:r w:rsidRPr="0026598C">
        <w:rPr>
          <w:color w:val="000000"/>
          <w:lang w:val="en-US"/>
        </w:rPr>
        <w:t>.</w:t>
      </w:r>
      <w:r>
        <w:rPr>
          <w:color w:val="000000"/>
          <w:lang w:val="en-US"/>
        </w:rPr>
        <w:t xml:space="preserve"> </w:t>
      </w:r>
    </w:p>
    <w:p w14:paraId="1339C49C" w14:textId="7CC83C33" w:rsidR="007B11D0" w:rsidRPr="0026598C" w:rsidRDefault="007B11D0" w:rsidP="007B11D0">
      <w:pPr>
        <w:rPr>
          <w:color w:val="000000"/>
          <w:lang w:val="en-US"/>
        </w:rPr>
      </w:pPr>
      <w:r w:rsidRPr="0026598C">
        <w:rPr>
          <w:color w:val="000000"/>
          <w:lang w:val="en-US"/>
        </w:rPr>
        <w:t xml:space="preserve">Another significant factor affecting the spatial distribution of both </w:t>
      </w:r>
      <w:r w:rsidRPr="0026598C">
        <w:rPr>
          <w:rFonts w:ascii="Symbol" w:hAnsi="Symbol"/>
          <w:color w:val="000000"/>
          <w:lang w:val="en-US"/>
        </w:rPr>
        <w:t></w:t>
      </w:r>
      <w:r w:rsidRPr="0026598C">
        <w:rPr>
          <w:color w:val="000000"/>
          <w:vertAlign w:val="superscript"/>
          <w:lang w:val="en-US"/>
        </w:rPr>
        <w:t>13</w:t>
      </w:r>
      <w:r w:rsidRPr="0026598C">
        <w:rPr>
          <w:color w:val="000000"/>
          <w:lang w:val="en-US"/>
        </w:rPr>
        <w:t>C and pH is seawater temperature, which affects both the equilibrium solubility of DIC and the equilibrium isotopic composition of DIC. Warmer ocean waters have decreased equilibrium solubility of DIC and so increased local [CO</w:t>
      </w:r>
      <w:r w:rsidRPr="0026598C">
        <w:rPr>
          <w:color w:val="000000"/>
          <w:vertAlign w:val="subscript"/>
          <w:lang w:val="en-US"/>
        </w:rPr>
        <w:t>3</w:t>
      </w:r>
      <w:r w:rsidRPr="0026598C">
        <w:rPr>
          <w:color w:val="000000"/>
          <w:vertAlign w:val="superscript"/>
          <w:lang w:val="en-US"/>
        </w:rPr>
        <w:t>2-</w:t>
      </w:r>
      <w:r w:rsidRPr="0026598C">
        <w:rPr>
          <w:color w:val="000000"/>
          <w:lang w:val="en-US"/>
        </w:rPr>
        <w:t>]</w:t>
      </w:r>
      <w:r>
        <w:rPr>
          <w:color w:val="000000"/>
          <w:lang w:val="en-US"/>
        </w:rPr>
        <w:t xml:space="preserve"> and pH</w:t>
      </w:r>
      <w:r w:rsidRPr="0026598C">
        <w:rPr>
          <w:color w:val="000000"/>
          <w:lang w:val="en-US"/>
        </w:rPr>
        <w:t xml:space="preserve"> (Goodwin and Lauderdale, 2013), while warmer waters have </w:t>
      </w:r>
      <w:r>
        <w:rPr>
          <w:color w:val="000000"/>
          <w:lang w:val="en-US"/>
        </w:rPr>
        <w:t>relatively low</w:t>
      </w:r>
      <w:r w:rsidRPr="0026598C">
        <w:rPr>
          <w:color w:val="000000"/>
          <w:lang w:val="en-US"/>
        </w:rPr>
        <w:t xml:space="preserve"> equilibrium </w:t>
      </w:r>
      <w:r w:rsidRPr="0026598C">
        <w:rPr>
          <w:rFonts w:ascii="Symbol" w:hAnsi="Symbol"/>
          <w:color w:val="000000"/>
          <w:lang w:val="en-US"/>
        </w:rPr>
        <w:t></w:t>
      </w:r>
      <w:r w:rsidRPr="0026598C">
        <w:rPr>
          <w:color w:val="000000"/>
          <w:vertAlign w:val="superscript"/>
          <w:lang w:val="en-US"/>
        </w:rPr>
        <w:t>13</w:t>
      </w:r>
      <w:r w:rsidRPr="0026598C">
        <w:rPr>
          <w:color w:val="000000"/>
          <w:lang w:val="en-US"/>
        </w:rPr>
        <w:t>C values (Lynch-Sti</w:t>
      </w:r>
      <w:r>
        <w:rPr>
          <w:color w:val="000000"/>
          <w:lang w:val="en-US"/>
        </w:rPr>
        <w:t>e</w:t>
      </w:r>
      <w:r w:rsidRPr="0026598C">
        <w:rPr>
          <w:color w:val="000000"/>
          <w:lang w:val="en-US"/>
        </w:rPr>
        <w:t xml:space="preserve">glitz et al, 1995). This means that a spatial gradient in temperature </w:t>
      </w:r>
      <w:r>
        <w:rPr>
          <w:color w:val="000000"/>
          <w:lang w:val="en-US"/>
        </w:rPr>
        <w:t>acts to drive</w:t>
      </w:r>
      <w:r w:rsidRPr="0026598C">
        <w:rPr>
          <w:color w:val="000000"/>
          <w:lang w:val="en-US"/>
        </w:rPr>
        <w:t xml:space="preserve"> </w:t>
      </w:r>
      <w:r w:rsidRPr="0026598C">
        <w:rPr>
          <w:rFonts w:ascii="Symbol" w:hAnsi="Symbol"/>
          <w:color w:val="000000"/>
          <w:lang w:val="en-US"/>
        </w:rPr>
        <w:t></w:t>
      </w:r>
      <w:r w:rsidRPr="0026598C">
        <w:rPr>
          <w:color w:val="000000"/>
          <w:vertAlign w:val="superscript"/>
          <w:lang w:val="en-US"/>
        </w:rPr>
        <w:t>13</w:t>
      </w:r>
      <w:r w:rsidRPr="0026598C">
        <w:rPr>
          <w:color w:val="000000"/>
          <w:lang w:val="en-US"/>
        </w:rPr>
        <w:t>C and pH in opposite directions: warmer waters</w:t>
      </w:r>
      <w:r>
        <w:rPr>
          <w:color w:val="000000"/>
          <w:lang w:val="en-US"/>
        </w:rPr>
        <w:t xml:space="preserve"> tend to</w:t>
      </w:r>
      <w:r w:rsidRPr="0026598C">
        <w:rPr>
          <w:color w:val="000000"/>
          <w:lang w:val="en-US"/>
        </w:rPr>
        <w:t xml:space="preserve"> have higher pH but lower </w:t>
      </w:r>
      <w:r w:rsidRPr="0026598C">
        <w:rPr>
          <w:rFonts w:ascii="Symbol" w:hAnsi="Symbol"/>
          <w:color w:val="000000"/>
          <w:lang w:val="en-US"/>
        </w:rPr>
        <w:t></w:t>
      </w:r>
      <w:r w:rsidRPr="0026598C">
        <w:rPr>
          <w:color w:val="000000"/>
          <w:vertAlign w:val="superscript"/>
          <w:lang w:val="en-US"/>
        </w:rPr>
        <w:t>13</w:t>
      </w:r>
      <w:r w:rsidRPr="0026598C">
        <w:rPr>
          <w:color w:val="000000"/>
          <w:lang w:val="en-US"/>
        </w:rPr>
        <w:t xml:space="preserve">C. These opposing temperature effects </w:t>
      </w:r>
      <w:r>
        <w:rPr>
          <w:color w:val="000000"/>
          <w:lang w:val="en-US"/>
        </w:rPr>
        <w:t xml:space="preserve">act to </w:t>
      </w:r>
      <w:r w:rsidRPr="0026598C">
        <w:rPr>
          <w:color w:val="000000"/>
          <w:lang w:val="en-US"/>
        </w:rPr>
        <w:t xml:space="preserve">reduce the </w:t>
      </w:r>
      <w:r>
        <w:rPr>
          <w:color w:val="000000"/>
          <w:lang w:val="en-US"/>
        </w:rPr>
        <w:t xml:space="preserve">pH difference between two points with greatly different temperature to below the value expected based on </w:t>
      </w:r>
      <w:r w:rsidRPr="0026598C">
        <w:rPr>
          <w:rFonts w:ascii="Symbol" w:hAnsi="Symbol"/>
          <w:color w:val="000000"/>
          <w:lang w:val="en-US"/>
        </w:rPr>
        <w:t></w:t>
      </w:r>
      <w:r w:rsidRPr="0026598C">
        <w:rPr>
          <w:color w:val="000000"/>
          <w:vertAlign w:val="superscript"/>
          <w:lang w:val="en-US"/>
        </w:rPr>
        <w:t>13</w:t>
      </w:r>
      <w:r w:rsidRPr="0026598C">
        <w:rPr>
          <w:color w:val="000000"/>
          <w:lang w:val="en-US"/>
        </w:rPr>
        <w:t xml:space="preserve">C </w:t>
      </w:r>
      <w:r>
        <w:rPr>
          <w:color w:val="000000"/>
          <w:lang w:val="en-US"/>
        </w:rPr>
        <w:t>alone</w:t>
      </w:r>
      <w:r w:rsidRPr="0026598C">
        <w:rPr>
          <w:color w:val="000000"/>
          <w:lang w:val="en-US"/>
        </w:rPr>
        <w:t xml:space="preserve">. </w:t>
      </w:r>
      <w:r w:rsidR="00520EA1">
        <w:rPr>
          <w:color w:val="000000"/>
          <w:lang w:val="en-US"/>
        </w:rPr>
        <w:t>In other word</w:t>
      </w:r>
      <w:r w:rsidR="00104910">
        <w:rPr>
          <w:color w:val="000000"/>
          <w:lang w:val="en-US"/>
        </w:rPr>
        <w:t>s</w:t>
      </w:r>
      <w:r>
        <w:rPr>
          <w:color w:val="000000"/>
          <w:lang w:val="en-US"/>
        </w:rPr>
        <w:t xml:space="preserve">, when using </w:t>
      </w:r>
      <w:r w:rsidRPr="00D20154">
        <w:rPr>
          <w:color w:val="000000"/>
          <w:szCs w:val="18"/>
        </w:rPr>
        <w:t>δ</w:t>
      </w:r>
      <w:r w:rsidRPr="00980136">
        <w:rPr>
          <w:color w:val="000000"/>
          <w:szCs w:val="12"/>
          <w:vertAlign w:val="superscript"/>
        </w:rPr>
        <w:t>1</w:t>
      </w:r>
      <w:r>
        <w:rPr>
          <w:color w:val="000000"/>
          <w:szCs w:val="12"/>
          <w:vertAlign w:val="superscript"/>
        </w:rPr>
        <w:t>3</w:t>
      </w:r>
      <w:r>
        <w:rPr>
          <w:color w:val="000000"/>
          <w:szCs w:val="18"/>
        </w:rPr>
        <w:t>C</w:t>
      </w:r>
      <w:r>
        <w:rPr>
          <w:color w:val="000000"/>
          <w:lang w:val="en-US"/>
        </w:rPr>
        <w:t xml:space="preserve"> differences to estimate the pH gradient between the warm low latitude surface and cold deep waters the appropriate </w:t>
      </w:r>
      <w:r w:rsidR="00104910">
        <w:rPr>
          <w:color w:val="000000"/>
          <w:lang w:val="en-US"/>
        </w:rPr>
        <w:t>∆</w:t>
      </w:r>
      <w:r>
        <w:rPr>
          <w:color w:val="000000"/>
          <w:lang w:val="en-US"/>
        </w:rPr>
        <w:t>pH-</w:t>
      </w:r>
      <w:r w:rsidR="00104910">
        <w:rPr>
          <w:color w:val="000000"/>
          <w:lang w:val="en-US"/>
        </w:rPr>
        <w:t>∆</w:t>
      </w:r>
      <w:r w:rsidRPr="00D20154">
        <w:rPr>
          <w:color w:val="000000"/>
          <w:szCs w:val="18"/>
        </w:rPr>
        <w:t>δ</w:t>
      </w:r>
      <w:r w:rsidRPr="00980136">
        <w:rPr>
          <w:color w:val="000000"/>
          <w:szCs w:val="12"/>
          <w:vertAlign w:val="superscript"/>
        </w:rPr>
        <w:t>1</w:t>
      </w:r>
      <w:r>
        <w:rPr>
          <w:color w:val="000000"/>
          <w:szCs w:val="12"/>
          <w:vertAlign w:val="superscript"/>
        </w:rPr>
        <w:t>3</w:t>
      </w:r>
      <w:r>
        <w:rPr>
          <w:color w:val="000000"/>
          <w:szCs w:val="18"/>
        </w:rPr>
        <w:t>C</w:t>
      </w:r>
      <w:r>
        <w:rPr>
          <w:color w:val="000000"/>
          <w:lang w:val="en-US"/>
        </w:rPr>
        <w:t xml:space="preserve"> </w:t>
      </w:r>
      <w:r w:rsidR="00520EA1">
        <w:rPr>
          <w:color w:val="000000"/>
          <w:lang w:val="en-US"/>
        </w:rPr>
        <w:t xml:space="preserve">gradient </w:t>
      </w:r>
      <w:r>
        <w:rPr>
          <w:color w:val="000000"/>
          <w:lang w:val="en-US"/>
        </w:rPr>
        <w:t xml:space="preserve">will be less than expected when only considering the </w:t>
      </w:r>
      <w:r w:rsidR="00520EA1">
        <w:rPr>
          <w:color w:val="000000"/>
          <w:lang w:val="en-US"/>
        </w:rPr>
        <w:t xml:space="preserve">effect of organic carbon </w:t>
      </w:r>
      <w:r w:rsidR="00520EA1">
        <w:rPr>
          <w:rFonts w:ascii="Times New Roman" w:hAnsi="Times New Roman"/>
          <w:color w:val="000000"/>
          <w:lang w:val="en-US"/>
        </w:rPr>
        <w:t>production, sinking and sequestration</w:t>
      </w:r>
      <w:r>
        <w:rPr>
          <w:color w:val="000000"/>
          <w:lang w:val="en-US"/>
        </w:rPr>
        <w:t>.</w:t>
      </w:r>
      <w:r w:rsidR="00D36762">
        <w:rPr>
          <w:color w:val="000000"/>
          <w:lang w:val="en-US"/>
        </w:rPr>
        <w:t xml:space="preserve"> For this reason, </w:t>
      </w:r>
      <w:r w:rsidR="005A4F65">
        <w:rPr>
          <w:color w:val="000000"/>
          <w:lang w:val="en-US"/>
        </w:rPr>
        <w:t xml:space="preserve">in our </w:t>
      </w:r>
      <w:r w:rsidR="00D36762">
        <w:rPr>
          <w:color w:val="000000"/>
          <w:lang w:val="en-US"/>
        </w:rPr>
        <w:t xml:space="preserve">modeling </w:t>
      </w:r>
      <w:r w:rsidR="005A4F65">
        <w:rPr>
          <w:color w:val="000000"/>
          <w:lang w:val="en-US"/>
        </w:rPr>
        <w:t>analysis we</w:t>
      </w:r>
      <w:r w:rsidR="00D36762">
        <w:rPr>
          <w:color w:val="000000"/>
          <w:lang w:val="en-US"/>
        </w:rPr>
        <w:t xml:space="preserve"> </w:t>
      </w:r>
      <w:r w:rsidR="005A4F65">
        <w:rPr>
          <w:color w:val="000000"/>
          <w:lang w:val="en-US"/>
        </w:rPr>
        <w:t>focus</w:t>
      </w:r>
      <w:r w:rsidR="005965CF">
        <w:rPr>
          <w:color w:val="000000"/>
          <w:lang w:val="en-US"/>
        </w:rPr>
        <w:t xml:space="preserve"> on the warm-surface to </w:t>
      </w:r>
      <w:r w:rsidR="00D36762">
        <w:rPr>
          <w:color w:val="000000"/>
          <w:lang w:val="en-US"/>
        </w:rPr>
        <w:t>cold-bottom ∆pH/∆</w:t>
      </w:r>
      <w:r w:rsidR="00D36762" w:rsidRPr="00D20154">
        <w:rPr>
          <w:color w:val="000000"/>
          <w:szCs w:val="18"/>
        </w:rPr>
        <w:t>δ</w:t>
      </w:r>
      <w:r w:rsidR="00D36762" w:rsidRPr="00980136">
        <w:rPr>
          <w:color w:val="000000"/>
          <w:szCs w:val="12"/>
          <w:vertAlign w:val="superscript"/>
        </w:rPr>
        <w:t>1</w:t>
      </w:r>
      <w:r w:rsidR="00D36762">
        <w:rPr>
          <w:color w:val="000000"/>
          <w:szCs w:val="12"/>
          <w:vertAlign w:val="superscript"/>
        </w:rPr>
        <w:t>3</w:t>
      </w:r>
      <w:r w:rsidR="00D36762">
        <w:rPr>
          <w:color w:val="000000"/>
          <w:szCs w:val="18"/>
        </w:rPr>
        <w:t>C</w:t>
      </w:r>
      <w:r w:rsidR="00D36762">
        <w:rPr>
          <w:color w:val="000000"/>
          <w:lang w:val="en-US"/>
        </w:rPr>
        <w:t xml:space="preserve"> rather than the slope of the overall pH-</w:t>
      </w:r>
      <w:r w:rsidR="00D36762" w:rsidRPr="00D20154">
        <w:rPr>
          <w:color w:val="000000"/>
          <w:szCs w:val="18"/>
        </w:rPr>
        <w:t>δ</w:t>
      </w:r>
      <w:r w:rsidR="00D36762" w:rsidRPr="00980136">
        <w:rPr>
          <w:color w:val="000000"/>
          <w:szCs w:val="12"/>
          <w:vertAlign w:val="superscript"/>
        </w:rPr>
        <w:t>1</w:t>
      </w:r>
      <w:r w:rsidR="00D36762">
        <w:rPr>
          <w:color w:val="000000"/>
          <w:szCs w:val="12"/>
          <w:vertAlign w:val="superscript"/>
        </w:rPr>
        <w:t>3</w:t>
      </w:r>
      <w:r w:rsidR="00D36762">
        <w:rPr>
          <w:color w:val="000000"/>
          <w:szCs w:val="18"/>
        </w:rPr>
        <w:t>C</w:t>
      </w:r>
      <w:r w:rsidR="00D36762">
        <w:rPr>
          <w:color w:val="000000"/>
          <w:lang w:val="en-US"/>
        </w:rPr>
        <w:t xml:space="preserve"> relationship</w:t>
      </w:r>
      <w:r w:rsidR="00D36762">
        <w:rPr>
          <w:color w:val="000000"/>
          <w:szCs w:val="18"/>
        </w:rPr>
        <w:t xml:space="preserve">, with the </w:t>
      </w:r>
      <w:r w:rsidR="005A4F65">
        <w:rPr>
          <w:color w:val="000000"/>
          <w:szCs w:val="18"/>
        </w:rPr>
        <w:t>latter</w:t>
      </w:r>
      <w:r w:rsidR="00D36762">
        <w:rPr>
          <w:color w:val="000000"/>
          <w:szCs w:val="18"/>
        </w:rPr>
        <w:t xml:space="preserve"> expected to be </w:t>
      </w:r>
      <w:r w:rsidR="005A4F65">
        <w:rPr>
          <w:color w:val="000000"/>
          <w:szCs w:val="18"/>
        </w:rPr>
        <w:t>greater</w:t>
      </w:r>
      <w:r w:rsidR="00D36762">
        <w:rPr>
          <w:color w:val="000000"/>
          <w:szCs w:val="18"/>
        </w:rPr>
        <w:t xml:space="preserve"> than the </w:t>
      </w:r>
      <w:r w:rsidR="005A4F65">
        <w:rPr>
          <w:color w:val="000000"/>
          <w:szCs w:val="18"/>
        </w:rPr>
        <w:t>former</w:t>
      </w:r>
      <w:r w:rsidR="00D36762">
        <w:rPr>
          <w:color w:val="000000"/>
          <w:szCs w:val="18"/>
        </w:rPr>
        <w:t>.</w:t>
      </w:r>
      <w:r>
        <w:rPr>
          <w:color w:val="000000"/>
          <w:lang w:val="en-US"/>
        </w:rPr>
        <w:t xml:space="preserve"> </w:t>
      </w:r>
    </w:p>
    <w:p w14:paraId="2A383FFB" w14:textId="5D7FC361" w:rsidR="007B11D0" w:rsidRDefault="007B11D0" w:rsidP="007B11D0">
      <w:pPr>
        <w:rPr>
          <w:color w:val="000000"/>
          <w:lang w:val="en-US"/>
        </w:rPr>
      </w:pPr>
      <w:r w:rsidRPr="0026598C">
        <w:rPr>
          <w:color w:val="000000"/>
          <w:lang w:val="en-US"/>
        </w:rPr>
        <w:t xml:space="preserve">In the modern ocean, and for the preceding tens of millions of years, the two </w:t>
      </w:r>
      <w:r w:rsidR="00D36762">
        <w:rPr>
          <w:color w:val="000000"/>
          <w:lang w:val="en-US"/>
        </w:rPr>
        <w:t xml:space="preserve">dynamics described above </w:t>
      </w:r>
      <w:r w:rsidRPr="0026598C">
        <w:rPr>
          <w:color w:val="000000"/>
          <w:lang w:val="en-US"/>
        </w:rPr>
        <w:t>are</w:t>
      </w:r>
      <w:r>
        <w:rPr>
          <w:color w:val="000000"/>
          <w:lang w:val="en-US"/>
        </w:rPr>
        <w:t xml:space="preserve"> likely</w:t>
      </w:r>
      <w:r w:rsidRPr="0026598C">
        <w:rPr>
          <w:color w:val="000000"/>
          <w:lang w:val="en-US"/>
        </w:rPr>
        <w:t xml:space="preserve"> dominant in setting spatial variation in </w:t>
      </w:r>
      <w:r w:rsidRPr="0026598C">
        <w:rPr>
          <w:rFonts w:ascii="Symbol" w:hAnsi="Symbol"/>
          <w:color w:val="000000"/>
          <w:lang w:val="en-US"/>
        </w:rPr>
        <w:t></w:t>
      </w:r>
      <w:r w:rsidRPr="0026598C">
        <w:rPr>
          <w:color w:val="000000"/>
          <w:vertAlign w:val="superscript"/>
          <w:lang w:val="en-US"/>
        </w:rPr>
        <w:t>13</w:t>
      </w:r>
      <w:r w:rsidRPr="0026598C">
        <w:rPr>
          <w:color w:val="000000"/>
          <w:lang w:val="en-US"/>
        </w:rPr>
        <w:t>C and pH</w:t>
      </w:r>
      <w:r>
        <w:rPr>
          <w:color w:val="000000"/>
          <w:lang w:val="en-US"/>
        </w:rPr>
        <w:t xml:space="preserve"> (and </w:t>
      </w:r>
      <w:r w:rsidRPr="0026598C">
        <w:rPr>
          <w:color w:val="000000"/>
          <w:lang w:val="en-US"/>
        </w:rPr>
        <w:t>[CO</w:t>
      </w:r>
      <w:r w:rsidRPr="0026598C">
        <w:rPr>
          <w:color w:val="000000"/>
          <w:vertAlign w:val="subscript"/>
          <w:lang w:val="en-US"/>
        </w:rPr>
        <w:t>3</w:t>
      </w:r>
      <w:r w:rsidRPr="0026598C">
        <w:rPr>
          <w:color w:val="000000"/>
          <w:vertAlign w:val="superscript"/>
          <w:lang w:val="en-US"/>
        </w:rPr>
        <w:t>2-</w:t>
      </w:r>
      <w:r w:rsidRPr="0026598C">
        <w:rPr>
          <w:color w:val="000000"/>
          <w:lang w:val="en-US"/>
        </w:rPr>
        <w:t>]</w:t>
      </w:r>
      <w:r>
        <w:rPr>
          <w:color w:val="000000"/>
          <w:lang w:val="en-US"/>
        </w:rPr>
        <w:t>)</w:t>
      </w:r>
      <w:r w:rsidRPr="0026598C">
        <w:rPr>
          <w:color w:val="000000"/>
          <w:lang w:val="en-US"/>
        </w:rPr>
        <w:t xml:space="preserve">. However, other processes </w:t>
      </w:r>
      <w:r>
        <w:rPr>
          <w:color w:val="000000"/>
          <w:lang w:val="en-US"/>
        </w:rPr>
        <w:t xml:space="preserve">will have a minor </w:t>
      </w:r>
      <w:r w:rsidRPr="0026598C">
        <w:rPr>
          <w:color w:val="000000"/>
          <w:lang w:val="en-US"/>
        </w:rPr>
        <w:t xml:space="preserve">effect on either pH or </w:t>
      </w:r>
      <w:r w:rsidRPr="0026598C">
        <w:rPr>
          <w:rFonts w:ascii="Symbol" w:hAnsi="Symbol"/>
          <w:color w:val="000000"/>
          <w:lang w:val="en-US"/>
        </w:rPr>
        <w:t></w:t>
      </w:r>
      <w:r w:rsidRPr="0026598C">
        <w:rPr>
          <w:color w:val="000000"/>
          <w:vertAlign w:val="superscript"/>
          <w:lang w:val="en-US"/>
        </w:rPr>
        <w:t>13</w:t>
      </w:r>
      <w:r w:rsidRPr="0026598C">
        <w:rPr>
          <w:color w:val="000000"/>
          <w:lang w:val="en-US"/>
        </w:rPr>
        <w:t xml:space="preserve">C. </w:t>
      </w:r>
      <w:r>
        <w:rPr>
          <w:color w:val="000000"/>
          <w:lang w:val="en-US"/>
        </w:rPr>
        <w:t>For instance, t</w:t>
      </w:r>
      <w:r w:rsidRPr="0026598C">
        <w:rPr>
          <w:color w:val="000000"/>
          <w:lang w:val="en-US"/>
        </w:rPr>
        <w:t xml:space="preserve">he </w:t>
      </w:r>
      <w:r w:rsidR="003D6460">
        <w:rPr>
          <w:color w:val="000000"/>
          <w:lang w:val="en-US"/>
        </w:rPr>
        <w:t>dissolution of</w:t>
      </w:r>
      <w:r w:rsidRPr="0026598C">
        <w:rPr>
          <w:color w:val="000000"/>
          <w:lang w:val="en-US"/>
        </w:rPr>
        <w:t xml:space="preserve"> CaCO</w:t>
      </w:r>
      <w:r w:rsidRPr="0026598C">
        <w:rPr>
          <w:color w:val="000000"/>
          <w:vertAlign w:val="subscript"/>
          <w:lang w:val="en-US"/>
        </w:rPr>
        <w:t>3</w:t>
      </w:r>
      <w:r w:rsidRPr="0026598C">
        <w:rPr>
          <w:color w:val="000000"/>
          <w:lang w:val="en-US"/>
        </w:rPr>
        <w:t xml:space="preserve"> </w:t>
      </w:r>
      <w:r w:rsidR="003D6460">
        <w:rPr>
          <w:color w:val="000000"/>
          <w:lang w:val="en-US"/>
        </w:rPr>
        <w:t>shells</w:t>
      </w:r>
      <w:r w:rsidRPr="0026598C">
        <w:rPr>
          <w:color w:val="000000"/>
          <w:lang w:val="en-US"/>
        </w:rPr>
        <w:t xml:space="preserve"> increases [CO</w:t>
      </w:r>
      <w:r w:rsidRPr="0026598C">
        <w:rPr>
          <w:color w:val="000000"/>
          <w:vertAlign w:val="subscript"/>
          <w:lang w:val="en-US"/>
        </w:rPr>
        <w:t>3</w:t>
      </w:r>
      <w:r w:rsidRPr="0026598C">
        <w:rPr>
          <w:color w:val="000000"/>
          <w:vertAlign w:val="superscript"/>
          <w:lang w:val="en-US"/>
        </w:rPr>
        <w:t>2-</w:t>
      </w:r>
      <w:r w:rsidRPr="0026598C">
        <w:rPr>
          <w:color w:val="000000"/>
          <w:lang w:val="en-US"/>
        </w:rPr>
        <w:t>] and pH (</w:t>
      </w:r>
      <w:r>
        <w:rPr>
          <w:color w:val="000000"/>
          <w:lang w:val="en-US"/>
        </w:rPr>
        <w:t>Broecker and Peng, 1982</w:t>
      </w:r>
      <w:r w:rsidRPr="0026598C">
        <w:rPr>
          <w:color w:val="000000"/>
          <w:lang w:val="en-US"/>
        </w:rPr>
        <w:t xml:space="preserve">), but does not significantly affect </w:t>
      </w:r>
      <w:r w:rsidRPr="0026598C">
        <w:rPr>
          <w:rFonts w:ascii="Symbol" w:hAnsi="Symbol"/>
          <w:color w:val="000000"/>
          <w:lang w:val="en-US"/>
        </w:rPr>
        <w:t></w:t>
      </w:r>
      <w:r w:rsidRPr="0026598C">
        <w:rPr>
          <w:color w:val="000000"/>
          <w:vertAlign w:val="superscript"/>
          <w:lang w:val="en-US"/>
        </w:rPr>
        <w:t>13</w:t>
      </w:r>
      <w:r w:rsidRPr="0026598C">
        <w:rPr>
          <w:color w:val="000000"/>
          <w:lang w:val="en-US"/>
        </w:rPr>
        <w:t>C (Z</w:t>
      </w:r>
      <w:r>
        <w:rPr>
          <w:color w:val="000000"/>
          <w:lang w:val="en-US"/>
        </w:rPr>
        <w:t>eebe and Wolf-Gladrow, 2001). Moreover, the long timescale of air/sea isotopic equilibration of CO</w:t>
      </w:r>
      <w:r w:rsidRPr="00074D31">
        <w:rPr>
          <w:color w:val="000000"/>
          <w:vertAlign w:val="subscript"/>
          <w:lang w:val="en-US"/>
        </w:rPr>
        <w:t>2</w:t>
      </w:r>
      <w:r>
        <w:rPr>
          <w:color w:val="000000"/>
          <w:lang w:val="en-US"/>
        </w:rPr>
        <w:t xml:space="preserve"> </w:t>
      </w:r>
      <w:r w:rsidR="002D526E">
        <w:rPr>
          <w:color w:val="000000"/>
          <w:lang w:val="en-US"/>
        </w:rPr>
        <w:t xml:space="preserve">combined with kinetic isotope fractionation during net carbon transfer </w:t>
      </w:r>
      <w:r>
        <w:rPr>
          <w:color w:val="000000"/>
          <w:lang w:val="en-US"/>
        </w:rPr>
        <w:t xml:space="preserve">is an important factor in setting the distribution of </w:t>
      </w:r>
      <w:r w:rsidRPr="00074D31">
        <w:rPr>
          <w:color w:val="000000"/>
          <w:szCs w:val="18"/>
          <w:lang w:val="en-US"/>
        </w:rPr>
        <w:t>δ</w:t>
      </w:r>
      <w:r w:rsidRPr="00074D31">
        <w:rPr>
          <w:color w:val="000000"/>
          <w:szCs w:val="12"/>
          <w:vertAlign w:val="superscript"/>
          <w:lang w:val="en-US"/>
        </w:rPr>
        <w:t>1</w:t>
      </w:r>
      <w:r>
        <w:rPr>
          <w:color w:val="000000"/>
          <w:szCs w:val="12"/>
          <w:vertAlign w:val="superscript"/>
          <w:lang w:val="en-US"/>
        </w:rPr>
        <w:t>3</w:t>
      </w:r>
      <w:r>
        <w:rPr>
          <w:color w:val="000000"/>
          <w:szCs w:val="18"/>
          <w:lang w:val="en-US"/>
        </w:rPr>
        <w:t>C</w:t>
      </w:r>
      <w:r>
        <w:rPr>
          <w:color w:val="000000"/>
          <w:lang w:val="en-US"/>
        </w:rPr>
        <w:t xml:space="preserve"> on a global ocean scale (Galbraith et al., 2015</w:t>
      </w:r>
      <w:r w:rsidR="002D526E">
        <w:rPr>
          <w:color w:val="000000"/>
          <w:lang w:val="en-US"/>
        </w:rPr>
        <w:t>; Lynch-Stieglitz et al., 1995</w:t>
      </w:r>
      <w:r>
        <w:rPr>
          <w:color w:val="000000"/>
          <w:lang w:val="en-US"/>
        </w:rPr>
        <w:t>)</w:t>
      </w:r>
      <w:r w:rsidR="002D526E">
        <w:rPr>
          <w:color w:val="000000"/>
          <w:lang w:val="en-US"/>
        </w:rPr>
        <w:t xml:space="preserve">, while the effect of </w:t>
      </w:r>
      <w:r>
        <w:rPr>
          <w:color w:val="000000"/>
          <w:lang w:val="en-US"/>
        </w:rPr>
        <w:t>CO</w:t>
      </w:r>
      <w:r w:rsidRPr="005E54C7">
        <w:rPr>
          <w:color w:val="000000"/>
          <w:vertAlign w:val="subscript"/>
          <w:lang w:val="en-US"/>
        </w:rPr>
        <w:t>2</w:t>
      </w:r>
      <w:r>
        <w:rPr>
          <w:color w:val="000000"/>
          <w:lang w:val="en-US"/>
        </w:rPr>
        <w:t xml:space="preserve"> </w:t>
      </w:r>
      <w:r w:rsidRPr="0026598C">
        <w:rPr>
          <w:color w:val="000000"/>
          <w:lang w:val="en-US"/>
        </w:rPr>
        <w:t xml:space="preserve">disequilibrium </w:t>
      </w:r>
      <w:r w:rsidR="002D526E">
        <w:rPr>
          <w:color w:val="000000"/>
          <w:lang w:val="en-US"/>
        </w:rPr>
        <w:t>on</w:t>
      </w:r>
      <w:r w:rsidRPr="0026598C">
        <w:rPr>
          <w:color w:val="000000"/>
          <w:lang w:val="en-US"/>
        </w:rPr>
        <w:t xml:space="preserve"> [CO</w:t>
      </w:r>
      <w:r w:rsidRPr="0026598C">
        <w:rPr>
          <w:color w:val="000000"/>
          <w:vertAlign w:val="subscript"/>
          <w:lang w:val="en-US"/>
        </w:rPr>
        <w:t>3</w:t>
      </w:r>
      <w:r w:rsidRPr="0026598C">
        <w:rPr>
          <w:color w:val="000000"/>
          <w:vertAlign w:val="superscript"/>
          <w:lang w:val="en-US"/>
        </w:rPr>
        <w:t>2-</w:t>
      </w:r>
      <w:r w:rsidRPr="0026598C">
        <w:rPr>
          <w:color w:val="000000"/>
          <w:lang w:val="en-US"/>
        </w:rPr>
        <w:t xml:space="preserve">] and pH </w:t>
      </w:r>
      <w:r w:rsidR="002D526E">
        <w:rPr>
          <w:color w:val="000000"/>
          <w:lang w:val="en-US"/>
        </w:rPr>
        <w:t>is modest</w:t>
      </w:r>
      <w:r w:rsidRPr="0026598C">
        <w:rPr>
          <w:color w:val="000000"/>
          <w:lang w:val="en-US"/>
        </w:rPr>
        <w:t xml:space="preserve"> (Goodwin and Lauderdale, 2013)</w:t>
      </w:r>
      <w:r>
        <w:rPr>
          <w:color w:val="000000"/>
          <w:lang w:val="en-US"/>
        </w:rPr>
        <w:t>.</w:t>
      </w:r>
    </w:p>
    <w:p w14:paraId="1C3C35B1" w14:textId="77777777" w:rsidR="007B11D0" w:rsidRPr="007B11D0" w:rsidRDefault="007B11D0" w:rsidP="007B11D0"/>
    <w:p w14:paraId="2C25C990" w14:textId="61A02550" w:rsidR="00961950" w:rsidRDefault="00961950" w:rsidP="007B11D0">
      <w:pPr>
        <w:pStyle w:val="Heading3"/>
        <w:numPr>
          <w:ilvl w:val="1"/>
          <w:numId w:val="28"/>
        </w:numPr>
      </w:pPr>
      <w:r>
        <w:t xml:space="preserve">Modelling the pH to </w:t>
      </w:r>
      <w:r w:rsidRPr="00061217">
        <w:rPr>
          <w:rFonts w:ascii="Times New Roman" w:hAnsi="Times New Roman"/>
        </w:rPr>
        <w:t>δ</w:t>
      </w:r>
      <w:r w:rsidRPr="00061217">
        <w:rPr>
          <w:vertAlign w:val="superscript"/>
        </w:rPr>
        <w:t>1</w:t>
      </w:r>
      <w:r>
        <w:rPr>
          <w:vertAlign w:val="superscript"/>
        </w:rPr>
        <w:t>3</w:t>
      </w:r>
      <w:r>
        <w:t xml:space="preserve">C </w:t>
      </w:r>
      <w:bookmarkEnd w:id="6"/>
      <w:r w:rsidR="008605EF">
        <w:t>relationship</w:t>
      </w:r>
    </w:p>
    <w:p w14:paraId="199C38E5" w14:textId="13BD0519" w:rsidR="008605EF" w:rsidRDefault="008605EF" w:rsidP="008605EF">
      <w:r>
        <w:t xml:space="preserve">After correcting </w:t>
      </w:r>
      <w:r w:rsidRPr="00B74AD5">
        <w:rPr>
          <w:rFonts w:ascii="Times New Roman" w:hAnsi="Times New Roman"/>
        </w:rPr>
        <w:t>for the</w:t>
      </w:r>
      <w:r w:rsidR="00B74AD5" w:rsidRPr="00B74AD5">
        <w:rPr>
          <w:rFonts w:ascii="Times New Roman" w:hAnsi="Times New Roman"/>
        </w:rPr>
        <w:t xml:space="preserve"> </w:t>
      </w:r>
      <w:r w:rsidR="00B74AD5" w:rsidRPr="00B74AD5">
        <w:rPr>
          <w:rFonts w:ascii="Times New Roman" w:eastAsiaTheme="minorEastAsia" w:hAnsi="Times New Roman"/>
          <w:color w:val="202020"/>
          <w:lang w:val="en-US" w:eastAsia="ja-JP"/>
        </w:rPr>
        <w:t xml:space="preserve">shift in </w:t>
      </w:r>
      <w:r w:rsidR="00B74AD5" w:rsidRPr="00B74AD5">
        <w:rPr>
          <w:rFonts w:ascii="Times New Roman" w:hAnsi="Times New Roman"/>
          <w:color w:val="000000"/>
        </w:rPr>
        <w:t>δ</w:t>
      </w:r>
      <w:r w:rsidR="00B74AD5" w:rsidRPr="00B74AD5">
        <w:rPr>
          <w:rFonts w:ascii="Times New Roman" w:hAnsi="Times New Roman"/>
          <w:color w:val="000000"/>
          <w:vertAlign w:val="superscript"/>
        </w:rPr>
        <w:t>13</w:t>
      </w:r>
      <w:r w:rsidR="00B74AD5" w:rsidRPr="00B74AD5">
        <w:rPr>
          <w:rFonts w:ascii="Times New Roman" w:hAnsi="Times New Roman"/>
          <w:color w:val="000000"/>
        </w:rPr>
        <w:t>C due to</w:t>
      </w:r>
      <w:r w:rsidR="00C8428A">
        <w:t xml:space="preserve"> anthropogenic </w:t>
      </w:r>
      <w:r w:rsidR="00B74AD5">
        <w:t>activity</w:t>
      </w:r>
      <w:r w:rsidR="005A4F65">
        <w:t>,</w:t>
      </w:r>
      <w:r>
        <w:t xml:space="preserve"> </w:t>
      </w:r>
      <w:r w:rsidR="005A4F65">
        <w:t>or</w:t>
      </w:r>
      <w:r w:rsidR="00B74AD5">
        <w:t xml:space="preserve"> </w:t>
      </w:r>
      <w:r>
        <w:t>Suess effect</w:t>
      </w:r>
      <w:r w:rsidR="00B74AD5">
        <w:t xml:space="preserve"> </w:t>
      </w:r>
      <w:r w:rsidR="00AC0475">
        <w:t>(</w:t>
      </w:r>
      <w:r w:rsidR="00B74AD5" w:rsidRPr="00FD7A2A">
        <w:t>Keeling 1979</w:t>
      </w:r>
      <w:r w:rsidR="00B74AD5">
        <w:t>)</w:t>
      </w:r>
      <w:r>
        <w:t>, modern</w:t>
      </w:r>
      <w:r w:rsidR="00520EA1">
        <w:t xml:space="preserve"> global</w:t>
      </w:r>
      <w:r>
        <w:t xml:space="preserve"> ocean observations demonstrate a near</w:t>
      </w:r>
      <w:r w:rsidR="00520EA1">
        <w:t>-</w:t>
      </w:r>
      <w:r>
        <w:t xml:space="preserve">linear relationship between global ocean data of </w:t>
      </w:r>
      <w:r w:rsidRPr="00272075">
        <w:rPr>
          <w:i/>
        </w:rPr>
        <w:t>in</w:t>
      </w:r>
      <w:r w:rsidR="00272075" w:rsidRPr="00272075">
        <w:rPr>
          <w:i/>
        </w:rPr>
        <w:t xml:space="preserve"> </w:t>
      </w:r>
      <w:r w:rsidRPr="00272075">
        <w:rPr>
          <w:i/>
        </w:rPr>
        <w:t>situ</w:t>
      </w:r>
      <w:r>
        <w:t xml:space="preserve"> </w:t>
      </w:r>
      <w:r w:rsidR="00520EA1">
        <w:t xml:space="preserve">seawater </w:t>
      </w:r>
      <w:r>
        <w:t xml:space="preserve">pH and </w:t>
      </w:r>
      <w:r w:rsidR="008E1B73" w:rsidRPr="00D20154">
        <w:rPr>
          <w:color w:val="000000"/>
          <w:szCs w:val="18"/>
        </w:rPr>
        <w:t>δ</w:t>
      </w:r>
      <w:r w:rsidR="008E1B73" w:rsidRPr="00980136">
        <w:rPr>
          <w:color w:val="000000"/>
          <w:szCs w:val="12"/>
          <w:vertAlign w:val="superscript"/>
        </w:rPr>
        <w:t>1</w:t>
      </w:r>
      <w:r w:rsidR="008E1B73">
        <w:rPr>
          <w:color w:val="000000"/>
          <w:szCs w:val="12"/>
          <w:vertAlign w:val="superscript"/>
        </w:rPr>
        <w:t>3</w:t>
      </w:r>
      <w:r w:rsidR="008E1B73">
        <w:rPr>
          <w:color w:val="000000"/>
          <w:szCs w:val="18"/>
        </w:rPr>
        <w:t>C</w:t>
      </w:r>
      <w:r w:rsidR="008E1B73">
        <w:t xml:space="preserve"> </w:t>
      </w:r>
      <w:r w:rsidR="00CF399D">
        <w:t xml:space="preserve">DIC </w:t>
      </w:r>
      <w:r>
        <w:t xml:space="preserve">with a slope </w:t>
      </w:r>
      <w:r w:rsidRPr="005758E5">
        <w:rPr>
          <w:rFonts w:ascii="Times New Roman" w:hAnsi="Times New Roman"/>
        </w:rPr>
        <w:t>of 0.201</w:t>
      </w:r>
      <w:r w:rsidR="005758E5" w:rsidRPr="005758E5">
        <w:rPr>
          <w:rFonts w:ascii="Times New Roman" w:eastAsiaTheme="minorEastAsia" w:hAnsi="Times New Roman"/>
          <w:color w:val="1C1C1C"/>
          <w:lang w:val="en-US" w:eastAsia="ja-JP"/>
        </w:rPr>
        <w:t>±</w:t>
      </w:r>
      <w:r w:rsidR="005758E5" w:rsidRPr="005758E5">
        <w:rPr>
          <w:rFonts w:ascii="Times New Roman" w:hAnsi="Times New Roman"/>
        </w:rPr>
        <w:t xml:space="preserve"> 0.005 (2</w:t>
      </w:r>
      <w:r w:rsidR="00D36762">
        <w:sym w:font="Symbol" w:char="F073"/>
      </w:r>
      <w:r w:rsidR="005758E5" w:rsidRPr="005758E5">
        <w:rPr>
          <w:rFonts w:ascii="Times New Roman" w:hAnsi="Times New Roman"/>
        </w:rPr>
        <w:t>)</w:t>
      </w:r>
      <w:r w:rsidR="005758E5">
        <w:t xml:space="preserve"> </w:t>
      </w:r>
      <w:r>
        <w:t>(Foster et al., 2012</w:t>
      </w:r>
      <w:r w:rsidR="002D526E">
        <w:t>; Fig 5c</w:t>
      </w:r>
      <w:r>
        <w:t>.</w:t>
      </w:r>
      <w:r w:rsidR="00AC0475">
        <w:t>)</w:t>
      </w:r>
      <w:r>
        <w:t xml:space="preserve"> This empirically determined slope might well have been different in past oceans with very different</w:t>
      </w:r>
      <w:r w:rsidR="00D36762">
        <w:t xml:space="preserve"> nutrient cycling,</w:t>
      </w:r>
      <w:r>
        <w:t xml:space="preserve"> carbon chemistry</w:t>
      </w:r>
      <w:r w:rsidR="00D36762">
        <w:t xml:space="preserve"> and circulation</w:t>
      </w:r>
      <w:r>
        <w:t xml:space="preserve"> </w:t>
      </w:r>
      <w:r w:rsidR="008E1B73">
        <w:t xml:space="preserve">compared to </w:t>
      </w:r>
      <w:r w:rsidR="00272075">
        <w:t>today</w:t>
      </w:r>
      <w:r w:rsidR="00D36762">
        <w:t>, and it does not appropriately represent the temperature effect described above (i.e., warm-surface to cold-bottom water ∆pH/∆</w:t>
      </w:r>
      <w:r w:rsidR="00D36762" w:rsidRPr="00D20154">
        <w:rPr>
          <w:color w:val="000000"/>
          <w:szCs w:val="18"/>
        </w:rPr>
        <w:t>δ</w:t>
      </w:r>
      <w:r w:rsidR="00D36762" w:rsidRPr="00980136">
        <w:rPr>
          <w:color w:val="000000"/>
          <w:szCs w:val="12"/>
          <w:vertAlign w:val="superscript"/>
        </w:rPr>
        <w:t>1</w:t>
      </w:r>
      <w:r w:rsidR="00D36762">
        <w:rPr>
          <w:color w:val="000000"/>
          <w:szCs w:val="12"/>
          <w:vertAlign w:val="superscript"/>
        </w:rPr>
        <w:t>3</w:t>
      </w:r>
      <w:r w:rsidR="00D36762">
        <w:rPr>
          <w:color w:val="000000"/>
          <w:szCs w:val="18"/>
        </w:rPr>
        <w:t>C</w:t>
      </w:r>
      <w:r w:rsidR="00D36762">
        <w:t>)</w:t>
      </w:r>
      <w:r w:rsidR="00272075">
        <w:t>. Here we use an ensemble</w:t>
      </w:r>
      <w:r>
        <w:t xml:space="preserve"> approach with two independent carbon cycle models to </w:t>
      </w:r>
      <w:r w:rsidR="00D36762">
        <w:t>investigate changes in the ∆pH/∆</w:t>
      </w:r>
      <w:r w:rsidR="00D36762" w:rsidRPr="00D20154">
        <w:rPr>
          <w:color w:val="000000"/>
          <w:szCs w:val="18"/>
        </w:rPr>
        <w:t>δ</w:t>
      </w:r>
      <w:r w:rsidR="00D36762" w:rsidRPr="00980136">
        <w:rPr>
          <w:color w:val="000000"/>
          <w:szCs w:val="12"/>
          <w:vertAlign w:val="superscript"/>
        </w:rPr>
        <w:t>1</w:t>
      </w:r>
      <w:r w:rsidR="00D36762">
        <w:rPr>
          <w:color w:val="000000"/>
          <w:szCs w:val="12"/>
          <w:vertAlign w:val="superscript"/>
        </w:rPr>
        <w:t>3</w:t>
      </w:r>
      <w:r w:rsidR="00D36762">
        <w:rPr>
          <w:color w:val="000000"/>
          <w:szCs w:val="18"/>
        </w:rPr>
        <w:t>C</w:t>
      </w:r>
      <w:r w:rsidR="00D36762">
        <w:t xml:space="preserve"> regression</w:t>
      </w:r>
      <w:r>
        <w:t xml:space="preserve">. Below we provide pertinent information on the GENIE and CYCLOPS model </w:t>
      </w:r>
      <w:r w:rsidR="00CF399D">
        <w:t>experiments</w:t>
      </w:r>
      <w:r>
        <w:t>:</w:t>
      </w:r>
    </w:p>
    <w:p w14:paraId="5CF31DFC" w14:textId="44B764C1" w:rsidR="00CF04FC" w:rsidRDefault="00CF04FC" w:rsidP="00CF04FC">
      <w:r>
        <w:rPr>
          <w:lang w:val="en-US"/>
        </w:rPr>
        <w:t xml:space="preserve">We use the Earth System model GENIE-1 (Edwards and Marsh, 2005; Ridgwell et al. 2007) to assess the robustness of the </w:t>
      </w:r>
      <w:r w:rsidR="00382898">
        <w:t>∆</w:t>
      </w:r>
      <w:r w:rsidR="00D36762">
        <w:t>pH-to-</w:t>
      </w:r>
      <w:r w:rsidR="00D36762">
        <w:rPr>
          <w:lang w:val="en-US"/>
        </w:rPr>
        <w:t>∆</w:t>
      </w:r>
      <w:r w:rsidR="00D36762" w:rsidRPr="00D20154">
        <w:rPr>
          <w:color w:val="000000"/>
          <w:szCs w:val="18"/>
        </w:rPr>
        <w:t>δ</w:t>
      </w:r>
      <w:r w:rsidR="00D36762" w:rsidRPr="00980136">
        <w:rPr>
          <w:color w:val="000000"/>
          <w:szCs w:val="12"/>
          <w:vertAlign w:val="superscript"/>
        </w:rPr>
        <w:t>1</w:t>
      </w:r>
      <w:r w:rsidR="00D36762">
        <w:rPr>
          <w:color w:val="000000"/>
          <w:szCs w:val="12"/>
          <w:vertAlign w:val="superscript"/>
        </w:rPr>
        <w:t>3</w:t>
      </w:r>
      <w:r w:rsidR="00D36762">
        <w:rPr>
          <w:color w:val="000000"/>
          <w:szCs w:val="18"/>
        </w:rPr>
        <w:t>C</w:t>
      </w:r>
      <w:r w:rsidR="00D36762">
        <w:t xml:space="preserve"> </w:t>
      </w:r>
      <w:r>
        <w:t>relationship and its sensitivity to physical and biogeochemical ocean forcing. The configuration used here is closely related to that of Holden et al. (2013), in which the controls on ocea</w:t>
      </w:r>
      <w:r w:rsidR="005A4F65">
        <w:t>nic</w:t>
      </w:r>
      <w:r>
        <w:t xml:space="preserve"> </w:t>
      </w:r>
      <w:r w:rsidRPr="008605EF">
        <w:rPr>
          <w:color w:val="000000"/>
          <w:szCs w:val="18"/>
        </w:rPr>
        <w:t>δ</w:t>
      </w:r>
      <w:r w:rsidRPr="008605EF">
        <w:rPr>
          <w:color w:val="000000"/>
          <w:szCs w:val="12"/>
          <w:vertAlign w:val="superscript"/>
        </w:rPr>
        <w:t>13</w:t>
      </w:r>
      <w:r w:rsidRPr="008605EF">
        <w:rPr>
          <w:color w:val="000000"/>
          <w:szCs w:val="18"/>
        </w:rPr>
        <w:t>C</w:t>
      </w:r>
      <w:r>
        <w:rPr>
          <w:color w:val="000000"/>
          <w:szCs w:val="18"/>
        </w:rPr>
        <w:t xml:space="preserve"> distribution were assessed</w:t>
      </w:r>
      <w:r>
        <w:t>, with an energy and moisture balance</w:t>
      </w:r>
      <w:r w:rsidR="00CF399D">
        <w:t xml:space="preserve"> in the</w:t>
      </w:r>
      <w:r>
        <w:t xml:space="preserve"> atmosphere, simple representations of land vegetation and sea ice, and frictional geostrophic ocean physics. In each of 16 vertical levels in the ocean, increasing in thickness with depth, there are 36x36 grid cells (10</w:t>
      </w:r>
      <w:r w:rsidR="00CF399D">
        <w:sym w:font="Symbol" w:char="F0B0"/>
      </w:r>
      <w:r>
        <w:t xml:space="preserve"> in longitude and nominally 5</w:t>
      </w:r>
      <w:r w:rsidR="00CF399D">
        <w:sym w:font="Symbol" w:char="F0B0"/>
      </w:r>
      <w:r>
        <w:t xml:space="preserve"> in latitude, with higher resolution at low latitudes). Modern ocean bathymetry and land topography is applied in all simulations. The ocean biogeochemical scheme (</w:t>
      </w:r>
      <w:r>
        <w:rPr>
          <w:lang w:val="en-US"/>
        </w:rPr>
        <w:t>Ridgwell et al. 2007</w:t>
      </w:r>
      <w:r>
        <w:t>) is based on conversion of DIC to organic carbon associated with phosphate uptake with fixed P:C:O stoichiometry. Organic carbon and nutrients are reminerali</w:t>
      </w:r>
      <w:r w:rsidR="00CF399D">
        <w:t>z</w:t>
      </w:r>
      <w:r>
        <w:t>ed according to a reminerali</w:t>
      </w:r>
      <w:r w:rsidR="00CF399D">
        <w:t>z</w:t>
      </w:r>
      <w:r>
        <w:t xml:space="preserve">ation profile with a pre-defined </w:t>
      </w:r>
      <w:r>
        <w:rPr>
          <w:i/>
        </w:rPr>
        <w:t>e</w:t>
      </w:r>
      <w:r>
        <w:t xml:space="preserve">-folding depth scale. This depth scale, as well as the rain ratio of inorganic to organic carbon in sinking particulate matter, is among the parameters examined in the sensitivity study. In these simulations, there is no interaction with sediments. As a result of this, </w:t>
      </w:r>
      <w:r w:rsidR="005A4F65">
        <w:t>the</w:t>
      </w:r>
      <w:r>
        <w:t xml:space="preserve"> steady state solution</w:t>
      </w:r>
      <w:r w:rsidR="005A4F65">
        <w:t>s</w:t>
      </w:r>
      <w:r w:rsidR="00E04EB2">
        <w:t xml:space="preserve"> reported here </w:t>
      </w:r>
      <w:r w:rsidR="00D33161">
        <w:t>are</w:t>
      </w:r>
      <w:r w:rsidR="00E04EB2">
        <w:t xml:space="preserve"> reached</w:t>
      </w:r>
      <w:r>
        <w:t xml:space="preserve"> within the 5000-year simulations</w:t>
      </w:r>
      <w:r w:rsidR="00E04EB2">
        <w:t>, but</w:t>
      </w:r>
      <w:r w:rsidR="00520EA1">
        <w:t xml:space="preserve"> they</w:t>
      </w:r>
      <w:r w:rsidR="00E04EB2">
        <w:t xml:space="preserve"> are not consistent with</w:t>
      </w:r>
      <w:r>
        <w:t xml:space="preserve"> </w:t>
      </w:r>
      <w:r w:rsidR="00E04EB2">
        <w:t xml:space="preserve">being in secular steady state with regard to the balance of continental weathering and ocean </w:t>
      </w:r>
      <w:r w:rsidR="00E04EB2" w:rsidRPr="00E04EB2">
        <w:t>CaCO</w:t>
      </w:r>
      <w:r w:rsidR="00E04EB2" w:rsidRPr="00E04EB2">
        <w:rPr>
          <w:vertAlign w:val="subscript"/>
        </w:rPr>
        <w:t>3</w:t>
      </w:r>
      <w:r w:rsidR="00E04EB2">
        <w:t xml:space="preserve"> burial</w:t>
      </w:r>
      <w:r>
        <w:t>.</w:t>
      </w:r>
    </w:p>
    <w:p w14:paraId="75D23FC9" w14:textId="68A2B7F2" w:rsidR="00CF04FC" w:rsidRDefault="00CF04FC" w:rsidP="00CF04FC">
      <w:pPr>
        <w:rPr>
          <w:color w:val="000000"/>
          <w:szCs w:val="18"/>
        </w:rPr>
      </w:pPr>
      <w:r>
        <w:t xml:space="preserve">The sensitivity study consists of seven sets of experiments, each varying a single model parameter relative to the control simulation with preindustrial atmospheric </w:t>
      </w:r>
      <w:r w:rsidRPr="00EB6934">
        <w:rPr>
          <w:i/>
        </w:rPr>
        <w:t>p</w:t>
      </w:r>
      <w:r>
        <w:t>CO</w:t>
      </w:r>
      <w:r>
        <w:rPr>
          <w:vertAlign w:val="subscript"/>
        </w:rPr>
        <w:t>2</w:t>
      </w:r>
      <w:r>
        <w:t>. This enables us to assess which processes, if any, are capable of altering the ocean</w:t>
      </w:r>
      <w:r w:rsidR="00520EA1">
        <w:t xml:space="preserve">ic relationship between </w:t>
      </w:r>
      <w:r w:rsidR="00E04EB2">
        <w:rPr>
          <w:lang w:val="en-US"/>
        </w:rPr>
        <w:t>∆</w:t>
      </w:r>
      <w:r w:rsidR="00E04EB2">
        <w:t>pH</w:t>
      </w:r>
      <w:r w:rsidR="007526A1">
        <w:t xml:space="preserve"> and </w:t>
      </w:r>
      <w:r w:rsidR="00E04EB2">
        <w:rPr>
          <w:lang w:val="en-US"/>
        </w:rPr>
        <w:t>∆</w:t>
      </w:r>
      <w:r w:rsidR="00E04EB2" w:rsidRPr="00D20154">
        <w:rPr>
          <w:color w:val="000000"/>
          <w:szCs w:val="18"/>
        </w:rPr>
        <w:t>δ</w:t>
      </w:r>
      <w:r w:rsidR="00E04EB2" w:rsidRPr="00980136">
        <w:rPr>
          <w:color w:val="000000"/>
          <w:szCs w:val="12"/>
          <w:vertAlign w:val="superscript"/>
        </w:rPr>
        <w:t>1</w:t>
      </w:r>
      <w:r w:rsidR="00E04EB2">
        <w:rPr>
          <w:color w:val="000000"/>
          <w:szCs w:val="12"/>
          <w:vertAlign w:val="superscript"/>
        </w:rPr>
        <w:t>3</w:t>
      </w:r>
      <w:r w:rsidR="00E04EB2">
        <w:rPr>
          <w:color w:val="000000"/>
          <w:szCs w:val="18"/>
        </w:rPr>
        <w:t>C</w:t>
      </w:r>
      <w:r>
        <w:t xml:space="preserve"> relationship, and the uncertainty in the predictive skill of this relationship due to spatial variability. These experiments are therefore exploratory in nature and intended to </w:t>
      </w:r>
      <w:r w:rsidR="005A4F65">
        <w:t>study</w:t>
      </w:r>
      <w:r w:rsidR="00E04EB2">
        <w:t xml:space="preserve"> plausible range rather than </w:t>
      </w:r>
      <w:r w:rsidR="005A4F65">
        <w:t>determine</w:t>
      </w:r>
      <w:r w:rsidR="00D33161">
        <w:t xml:space="preserve"> magnitude </w:t>
      </w:r>
      <w:r w:rsidR="005A4F65">
        <w:t>of past change</w:t>
      </w:r>
      <w:r w:rsidR="00D33161">
        <w:t>s</w:t>
      </w:r>
      <w:r>
        <w:t>. The seven parameters varied are (1) the ocea</w:t>
      </w:r>
      <w:r w:rsidR="005A4F65">
        <w:t>n</w:t>
      </w:r>
      <w:r>
        <w:t xml:space="preserve"> alkalinity reservoir; (2) the ocean’s carbon reservoir; (3) the </w:t>
      </w:r>
      <w:r w:rsidRPr="009931F8">
        <w:rPr>
          <w:rFonts w:ascii="Times New Roman" w:hAnsi="Times New Roman"/>
        </w:rPr>
        <w:t>parameter “</w:t>
      </w:r>
      <w:r w:rsidRPr="009931F8">
        <w:rPr>
          <w:rFonts w:ascii="Times New Roman" w:eastAsiaTheme="minorEastAsia" w:hAnsi="Times New Roman"/>
          <w:lang w:val="en-US" w:eastAsia="ja-JP"/>
        </w:rPr>
        <w:t>S. Lim gas exchange”</w:t>
      </w:r>
      <w:r w:rsidRPr="009931F8">
        <w:rPr>
          <w:rFonts w:ascii="Times New Roman" w:hAnsi="Times New Roman"/>
        </w:rPr>
        <w:t xml:space="preserve"> which</w:t>
      </w:r>
      <w:r>
        <w:t xml:space="preserve"> blocks air-sea gas exchange south of the stated latitude, significant here because of the dependence of </w:t>
      </w:r>
      <w:r w:rsidRPr="00D20154">
        <w:rPr>
          <w:color w:val="000000"/>
          <w:szCs w:val="18"/>
        </w:rPr>
        <w:t>δ</w:t>
      </w:r>
      <w:r w:rsidRPr="00980136">
        <w:rPr>
          <w:color w:val="000000"/>
          <w:szCs w:val="12"/>
          <w:vertAlign w:val="superscript"/>
        </w:rPr>
        <w:t>1</w:t>
      </w:r>
      <w:r>
        <w:rPr>
          <w:color w:val="000000"/>
          <w:szCs w:val="12"/>
          <w:vertAlign w:val="superscript"/>
        </w:rPr>
        <w:t>3</w:t>
      </w:r>
      <w:r>
        <w:rPr>
          <w:color w:val="000000"/>
          <w:szCs w:val="18"/>
        </w:rPr>
        <w:t>C on surface disequilibrium (Galbraith et al., 2015); (4) inorganic to organic carbon rain ratio, controlling the relationship between DIC and alkalinity distributions; (5) “Antarctic shelf FWF”, a freshwater flux adjustment (always switched off in control experiments with GENIE) facilitating the formation of brine rich waters, which produces a high-salinity poorly-ventilated deep ocean at high values; (6) “Atlantic-Pacific FWF”, a freshwater flux adjustment equivalent to freshwater hosing, leading to a shut-down of the Atlantic meridional overturning circulation at low values; (7) reminerali</w:t>
      </w:r>
      <w:r w:rsidR="00CF399D">
        <w:rPr>
          <w:color w:val="000000"/>
          <w:szCs w:val="18"/>
        </w:rPr>
        <w:t>z</w:t>
      </w:r>
      <w:r>
        <w:rPr>
          <w:color w:val="000000"/>
          <w:szCs w:val="18"/>
        </w:rPr>
        <w:t xml:space="preserve">ation depth-scale of sinking organic matter, which affects the vertical gradient both of pH and </w:t>
      </w:r>
      <w:r w:rsidRPr="00D20154">
        <w:rPr>
          <w:color w:val="000000"/>
          <w:szCs w:val="18"/>
        </w:rPr>
        <w:t>δ</w:t>
      </w:r>
      <w:r w:rsidRPr="00980136">
        <w:rPr>
          <w:color w:val="000000"/>
          <w:szCs w:val="12"/>
          <w:vertAlign w:val="superscript"/>
        </w:rPr>
        <w:t>1</w:t>
      </w:r>
      <w:r>
        <w:rPr>
          <w:color w:val="000000"/>
          <w:szCs w:val="12"/>
          <w:vertAlign w:val="superscript"/>
        </w:rPr>
        <w:t>3</w:t>
      </w:r>
      <w:r>
        <w:rPr>
          <w:color w:val="000000"/>
          <w:szCs w:val="18"/>
        </w:rPr>
        <w:t>C. A wide range of parameter values is chosen for each parameter in order to exceed any plausible changes within the Cenozoic.</w:t>
      </w:r>
    </w:p>
    <w:p w14:paraId="310CA4ED" w14:textId="77777777" w:rsidR="00EC2D26" w:rsidRDefault="008605EF" w:rsidP="008605EF">
      <w:r>
        <w:t xml:space="preserve">For the second </w:t>
      </w:r>
      <w:r w:rsidR="002D526E">
        <w:t xml:space="preserve">exploration </w:t>
      </w:r>
      <w:r>
        <w:t>of the</w:t>
      </w:r>
      <w:r w:rsidR="002D526E">
        <w:t xml:space="preserve"> controls on the</w:t>
      </w:r>
      <w:r>
        <w:t xml:space="preserve"> slope of</w:t>
      </w:r>
      <w:r w:rsidR="007526A1">
        <w:t xml:space="preserve"> the</w:t>
      </w:r>
      <w:r>
        <w:t xml:space="preserve"> </w:t>
      </w:r>
      <w:r w:rsidR="00E04EB2">
        <w:rPr>
          <w:lang w:val="en-US"/>
        </w:rPr>
        <w:t>∆</w:t>
      </w:r>
      <w:r>
        <w:t>pH-</w:t>
      </w:r>
      <w:r w:rsidR="00E04EB2">
        <w:rPr>
          <w:lang w:val="en-US"/>
        </w:rPr>
        <w:t>∆</w:t>
      </w:r>
      <w:r w:rsidRPr="00D20154">
        <w:rPr>
          <w:color w:val="000000"/>
          <w:szCs w:val="18"/>
        </w:rPr>
        <w:t>δ</w:t>
      </w:r>
      <w:r w:rsidRPr="00980136">
        <w:rPr>
          <w:color w:val="000000"/>
          <w:szCs w:val="12"/>
          <w:vertAlign w:val="superscript"/>
        </w:rPr>
        <w:t>1</w:t>
      </w:r>
      <w:r>
        <w:rPr>
          <w:color w:val="000000"/>
          <w:szCs w:val="12"/>
          <w:vertAlign w:val="superscript"/>
        </w:rPr>
        <w:t>3</w:t>
      </w:r>
      <w:r>
        <w:rPr>
          <w:color w:val="000000"/>
          <w:szCs w:val="18"/>
        </w:rPr>
        <w:t>C</w:t>
      </w:r>
      <w:r>
        <w:t xml:space="preserve"> relationship we</w:t>
      </w:r>
      <w:r w:rsidRPr="00FB2D51">
        <w:t xml:space="preserve"> us</w:t>
      </w:r>
      <w:r>
        <w:t>e</w:t>
      </w:r>
      <w:r w:rsidRPr="00FB2D51">
        <w:t xml:space="preserve"> the CYCLOPS biogeochemical </w:t>
      </w:r>
      <w:r>
        <w:t>18-</w:t>
      </w:r>
      <w:r w:rsidRPr="00FB2D51">
        <w:t xml:space="preserve">box model </w:t>
      </w:r>
      <w:r>
        <w:t xml:space="preserve">that includes </w:t>
      </w:r>
      <w:r w:rsidRPr="00FB2D51">
        <w:t xml:space="preserve">a dynamical lysocline, a subantarctic zone surface box and a polar Antarctic zone box </w:t>
      </w:r>
      <w:r w:rsidRPr="00FB2D51">
        <w:rPr>
          <w:noProof/>
        </w:rPr>
        <w:t>(</w:t>
      </w:r>
      <w:r>
        <w:rPr>
          <w:noProof/>
        </w:rPr>
        <w:t xml:space="preserve">Sigman et al., 1998; </w:t>
      </w:r>
      <w:r w:rsidRPr="00FB2D51">
        <w:rPr>
          <w:noProof/>
        </w:rPr>
        <w:t>Hain et al., 2010</w:t>
      </w:r>
      <w:r>
        <w:rPr>
          <w:noProof/>
        </w:rPr>
        <w:t>, 2014</w:t>
      </w:r>
      <w:r w:rsidR="00CF04FC">
        <w:rPr>
          <w:noProof/>
        </w:rPr>
        <w:t>b</w:t>
      </w:r>
      <w:r w:rsidRPr="00FB2D51">
        <w:rPr>
          <w:noProof/>
        </w:rPr>
        <w:t>)</w:t>
      </w:r>
      <w:r w:rsidRPr="00FB2D51">
        <w:t xml:space="preserve">. </w:t>
      </w:r>
      <w:r>
        <w:t>The very large model ensemble with 13,500 individual model scenarios is designed to capture the full plausible range of (a) glacial/interglacial carbon cycle states by sampling the full solution space of Hain et al. (2010), and (b) reconstructed secular changes in seawater [Ca]</w:t>
      </w:r>
      <w:r w:rsidR="00CF399D">
        <w:t xml:space="preserve"> (calcium concentration)</w:t>
      </w:r>
      <w:r>
        <w:t xml:space="preserve">, </w:t>
      </w:r>
      <w:r w:rsidR="008A1B96">
        <w:t>carbonate compensation depth (</w:t>
      </w:r>
      <w:r>
        <w:t>CCD</w:t>
      </w:r>
      <w:r w:rsidR="008A1B96">
        <w:t>)</w:t>
      </w:r>
      <w:r>
        <w:t>, weathering and atmospheric CO</w:t>
      </w:r>
      <w:r w:rsidRPr="008605EF">
        <w:rPr>
          <w:vertAlign w:val="subscript"/>
        </w:rPr>
        <w:t>2</w:t>
      </w:r>
      <w:r w:rsidR="00550F2D">
        <w:t xml:space="preserve"> (Table 1)</w:t>
      </w:r>
      <w:r>
        <w:t>. The following seven model parameters are systematically sampled to set the 13,500 model scenarios: (1) shallow versus deep Atlantic meridional overturning circulation represented by modern reference</w:t>
      </w:r>
      <w:r w:rsidR="008A1B96">
        <w:t xml:space="preserve"> north Atlantic deep water (</w:t>
      </w:r>
      <w:r>
        <w:t>NADW</w:t>
      </w:r>
      <w:r w:rsidR="008A1B96">
        <w:t>)</w:t>
      </w:r>
      <w:r>
        <w:t xml:space="preserve"> versus peak glacial </w:t>
      </w:r>
      <w:r w:rsidR="00CF399D">
        <w:t>N</w:t>
      </w:r>
      <w:r w:rsidR="008A1B96">
        <w:t xml:space="preserve">orth Atlantic intermediate water (GNAIW) </w:t>
      </w:r>
      <w:r>
        <w:t>circulation; (2) iron</w:t>
      </w:r>
      <w:r w:rsidR="007526A1">
        <w:t>-</w:t>
      </w:r>
      <w:r>
        <w:t xml:space="preserve">driven changes in nutrient drawdown in the </w:t>
      </w:r>
      <w:r w:rsidR="00CF399D">
        <w:t>s</w:t>
      </w:r>
      <w:r>
        <w:t xml:space="preserve">ubantarctic </w:t>
      </w:r>
      <w:r w:rsidR="00CF399D">
        <w:t>z</w:t>
      </w:r>
      <w:r>
        <w:t xml:space="preserve">one of the Southern Ocean; (3) changes in nutrient drawdown of the </w:t>
      </w:r>
      <w:r w:rsidR="00CF399D">
        <w:t>p</w:t>
      </w:r>
      <w:r>
        <w:t xml:space="preserve">olar Antarctic; (4) changes in vertical exchange between the deep Southern Ocean and the </w:t>
      </w:r>
      <w:r w:rsidR="00CF399D">
        <w:t>p</w:t>
      </w:r>
      <w:r>
        <w:t>olar Antarctic surface; (5) range in seawater [Ca] concentration from 1x to 1.5x modern as per reconstructions</w:t>
      </w:r>
      <w:r w:rsidR="0085374C">
        <w:t xml:space="preserve"> (Horita et al., 2002)</w:t>
      </w:r>
      <w:r>
        <w:t>; (6) Pacific CCD is set to the range of 4.4-4.9</w:t>
      </w:r>
      <w:r w:rsidR="00D1104D">
        <w:t xml:space="preserve"> </w:t>
      </w:r>
      <w:r>
        <w:t>km via changes in the weathering flux, as per sedimentological evidence (P</w:t>
      </w:r>
      <w:r w:rsidR="0085374C">
        <w:t>ä</w:t>
      </w:r>
      <w:r>
        <w:t>like et al., 2012); (7) atmospheric CO</w:t>
      </w:r>
      <w:r w:rsidRPr="008E1B73">
        <w:rPr>
          <w:vertAlign w:val="subscript"/>
        </w:rPr>
        <w:t>2</w:t>
      </w:r>
      <w:r>
        <w:t xml:space="preserve"> is set from 200 ppm to 1000 ppm by changes in the </w:t>
      </w:r>
      <w:r w:rsidR="00CF399D">
        <w:t>‘</w:t>
      </w:r>
      <w:r>
        <w:t>weatherability</w:t>
      </w:r>
      <w:r w:rsidR="00CF399D">
        <w:t>’</w:t>
      </w:r>
      <w:r>
        <w:t xml:space="preserve"> parameter of the silicate weathering mechanism. </w:t>
      </w:r>
    </w:p>
    <w:p w14:paraId="45AE915E" w14:textId="4D1FE8F2" w:rsidR="00495342" w:rsidRPr="001770B2" w:rsidRDefault="008605EF" w:rsidP="008605EF">
      <w:pPr>
        <w:rPr>
          <w:i/>
          <w:iCs/>
          <w:szCs w:val="22"/>
        </w:rPr>
      </w:pPr>
      <w:r>
        <w:t xml:space="preserve">The ensemble spans predicted bulk ocean DIC between 1500 and 4500 </w:t>
      </w:r>
      <w:r w:rsidRPr="00D1104D">
        <w:t>µ</w:t>
      </w:r>
      <w:r>
        <w:t>mol/kg, a wide range of ocean pH and CaCO</w:t>
      </w:r>
      <w:r w:rsidRPr="008605EF">
        <w:rPr>
          <w:vertAlign w:val="subscript"/>
        </w:rPr>
        <w:t>3</w:t>
      </w:r>
      <w:r>
        <w:t xml:space="preserve"> saturation states consistent with the open system weathering cycle, and widely different states of the ocean</w:t>
      </w:r>
      <w:r w:rsidR="007526A1">
        <w:t>ic</w:t>
      </w:r>
      <w:r>
        <w:t xml:space="preserve"> biological pump.</w:t>
      </w:r>
      <w:r w:rsidR="00E04EB2">
        <w:t xml:space="preserve"> </w:t>
      </w:r>
      <w:r w:rsidR="005A4F65">
        <w:t>A</w:t>
      </w:r>
      <w:r w:rsidR="00E04EB2">
        <w:t>ll 13,500 model scenarios are run for two million years after every single ‘we</w:t>
      </w:r>
      <w:r w:rsidR="005A4F65">
        <w:t>atherability’ adjustment,</w:t>
      </w:r>
      <w:r w:rsidR="00E04EB2">
        <w:t xml:space="preserve"> part of the CCD inversion algorithm, guaranteeing the specified CCD depth and steady state with regard to the balance of continental weathering and ocean CaCO</w:t>
      </w:r>
      <w:r w:rsidR="00E04EB2" w:rsidRPr="001A2393">
        <w:rPr>
          <w:vertAlign w:val="subscript"/>
        </w:rPr>
        <w:t>3</w:t>
      </w:r>
      <w:r w:rsidR="00E04EB2">
        <w:t xml:space="preserve"> burial for the final solution</w:t>
      </w:r>
      <w:r w:rsidR="002D526E">
        <w:t xml:space="preserve"> (unlike the GENIE simulations CaCO</w:t>
      </w:r>
      <w:r w:rsidR="002D526E" w:rsidRPr="00C811ED">
        <w:rPr>
          <w:vertAlign w:val="subscript"/>
        </w:rPr>
        <w:t>3</w:t>
      </w:r>
      <w:r w:rsidR="002D526E">
        <w:t xml:space="preserve"> burial was entirely neglected due to computational cost of the long model integrations it would require)</w:t>
      </w:r>
      <w:r w:rsidR="00E04EB2">
        <w:t>. The inverse algorithm typically takes at least ten steps to conversion, resulting in ~300 billion simulated years for this ensemble.</w:t>
      </w:r>
      <w:r w:rsidR="001770B2">
        <w:t xml:space="preserve"> This range of modelling parameters was chosen to exceed the range of carbonate system and ocea</w:t>
      </w:r>
      <w:r w:rsidR="007526A1">
        <w:t>n circulation changes that can</w:t>
      </w:r>
      <w:r w:rsidR="001770B2">
        <w:t xml:space="preserve"> be expected for the Neogene based on records of [Ca] and [Mg] (Horita et al., 2002), CCD changes (Pälike et al., 2012)</w:t>
      </w:r>
      <w:r w:rsidR="00A57863">
        <w:t>,</w:t>
      </w:r>
      <w:r w:rsidR="001770B2">
        <w:t xml:space="preserve"> atmospheric CO</w:t>
      </w:r>
      <w:r w:rsidR="001770B2">
        <w:rPr>
          <w:vertAlign w:val="subscript"/>
        </w:rPr>
        <w:t>2</w:t>
      </w:r>
      <w:r w:rsidR="001770B2">
        <w:t xml:space="preserve"> (Beerling and Royer, 2011) and records of glacial-interglacial circulation change</w:t>
      </w:r>
      <w:r w:rsidR="007C0210">
        <w:t xml:space="preserve"> (Curry and Oppo, 2005)</w:t>
      </w:r>
      <w:r w:rsidR="001770B2">
        <w:t>.</w:t>
      </w:r>
    </w:p>
    <w:p w14:paraId="19432D7B" w14:textId="35560ED3" w:rsidR="00961950" w:rsidRDefault="00961950" w:rsidP="00FA27A7">
      <w:pPr>
        <w:pStyle w:val="Heading3"/>
        <w:numPr>
          <w:ilvl w:val="1"/>
          <w:numId w:val="28"/>
        </w:numPr>
        <w:rPr>
          <w:lang w:val="en-US"/>
        </w:rPr>
      </w:pPr>
      <w:bookmarkStart w:id="7" w:name="_Toc287775652"/>
      <w:r>
        <w:rPr>
          <w:lang w:val="en-US"/>
        </w:rPr>
        <w:t xml:space="preserve">Assessing </w:t>
      </w:r>
      <w:r w:rsidR="009E34D1">
        <w:rPr>
          <w:lang w:val="en-US"/>
        </w:rPr>
        <w:t>u</w:t>
      </w:r>
      <w:r>
        <w:rPr>
          <w:lang w:val="en-US"/>
        </w:rPr>
        <w:t>ncertainty</w:t>
      </w:r>
      <w:bookmarkEnd w:id="7"/>
    </w:p>
    <w:p w14:paraId="25EC87AF" w14:textId="62D3645C" w:rsidR="00C26426" w:rsidRPr="007E1482" w:rsidRDefault="008B0392" w:rsidP="005814C2">
      <w:pPr>
        <w:rPr>
          <w:rStyle w:val="st"/>
        </w:rPr>
      </w:pPr>
      <w:r w:rsidRPr="00D20154">
        <w:rPr>
          <w:color w:val="000000"/>
          <w:szCs w:val="18"/>
        </w:rPr>
        <w:t>δ</w:t>
      </w:r>
      <w:r w:rsidRPr="00980136">
        <w:rPr>
          <w:color w:val="000000"/>
          <w:szCs w:val="12"/>
          <w:vertAlign w:val="superscript"/>
        </w:rPr>
        <w:t>11</w:t>
      </w:r>
      <w:r w:rsidRPr="00D20154">
        <w:rPr>
          <w:color w:val="000000"/>
          <w:szCs w:val="18"/>
        </w:rPr>
        <w:t>B</w:t>
      </w:r>
      <w:r>
        <w:rPr>
          <w:color w:val="000000"/>
          <w:szCs w:val="18"/>
          <w:vertAlign w:val="subscript"/>
        </w:rPr>
        <w:t>sw</w:t>
      </w:r>
      <w:r>
        <w:t xml:space="preserve"> uncertain</w:t>
      </w:r>
      <w:r w:rsidR="00440DCB">
        <w:t xml:space="preserve">ty was calculated using a Monte </w:t>
      </w:r>
      <w:r>
        <w:t xml:space="preserve">Carlo approach where pH was calculated for deep and surface waters at each time slice using a random sampling (n=10000) of the various input parameters within their respective uncertainties as represented by normal distributions.  </w:t>
      </w:r>
      <w:r>
        <w:rPr>
          <w:rStyle w:val="st"/>
          <w:rFonts w:ascii="Times New Roman" w:hAnsi="Times New Roman"/>
        </w:rPr>
        <w:t>These</w:t>
      </w:r>
      <w:r w:rsidRPr="00883B0E">
        <w:rPr>
          <w:rStyle w:val="st"/>
        </w:rPr>
        <w:t xml:space="preserve"> uncertainties</w:t>
      </w:r>
      <w:r>
        <w:rPr>
          <w:rStyle w:val="st"/>
        </w:rPr>
        <w:t xml:space="preserve"> (</w:t>
      </w:r>
      <w:r>
        <w:t>2</w:t>
      </w:r>
      <w:r>
        <w:sym w:font="Symbol" w:char="F073"/>
      </w:r>
      <w:r>
        <w:t xml:space="preserve"> uncertainty in parentheses</w:t>
      </w:r>
      <w:r>
        <w:rPr>
          <w:rStyle w:val="st"/>
        </w:rPr>
        <w:t>)</w:t>
      </w:r>
      <w:r w:rsidRPr="00883B0E">
        <w:rPr>
          <w:rStyle w:val="st"/>
        </w:rPr>
        <w:t xml:space="preserve"> </w:t>
      </w:r>
      <w:r>
        <w:rPr>
          <w:rStyle w:val="st"/>
        </w:rPr>
        <w:t>are:</w:t>
      </w:r>
      <w:r w:rsidRPr="00883B0E">
        <w:rPr>
          <w:rStyle w:val="st"/>
        </w:rPr>
        <w:t xml:space="preserve"> temperature </w:t>
      </w:r>
      <w:r>
        <w:t>(</w:t>
      </w:r>
      <w:r w:rsidR="00440DCB">
        <w:rPr>
          <w:rFonts w:cs="Times"/>
        </w:rPr>
        <w:t xml:space="preserve">± </w:t>
      </w:r>
      <w:r w:rsidRPr="00883B0E">
        <w:t xml:space="preserve">2 </w:t>
      </w:r>
      <w:r w:rsidR="00CF399D">
        <w:sym w:font="Symbol" w:char="F0B0"/>
      </w:r>
      <w:r w:rsidRPr="00883B0E">
        <w:t>C)</w:t>
      </w:r>
      <w:r w:rsidRPr="00883B0E">
        <w:rPr>
          <w:rStyle w:val="st"/>
        </w:rPr>
        <w:t xml:space="preserve">, salinity </w:t>
      </w:r>
      <w:r>
        <w:t>(</w:t>
      </w:r>
      <w:r w:rsidR="00440DCB">
        <w:rPr>
          <w:rFonts w:cs="Times"/>
        </w:rPr>
        <w:t>±</w:t>
      </w:r>
      <w:r w:rsidRPr="00883B0E">
        <w:t>2</w:t>
      </w:r>
      <w:r>
        <w:t xml:space="preserve"> units on the practical salinity scale</w:t>
      </w:r>
      <w:r w:rsidRPr="00883B0E">
        <w:t>)</w:t>
      </w:r>
      <w:r>
        <w:t xml:space="preserve"> </w:t>
      </w:r>
      <w:r w:rsidR="008605EF">
        <w:t>[Ca</w:t>
      </w:r>
      <w:r w:rsidR="0085374C">
        <w:t>] (</w:t>
      </w:r>
      <w:r w:rsidR="00440DCB">
        <w:rPr>
          <w:rFonts w:cs="Times"/>
        </w:rPr>
        <w:t xml:space="preserve">± </w:t>
      </w:r>
      <w:r w:rsidR="00460EE2" w:rsidRPr="00460EE2">
        <w:t xml:space="preserve">4.5 </w:t>
      </w:r>
      <w:r w:rsidR="00460EE2" w:rsidRPr="00460EE2">
        <w:rPr>
          <w:rFonts w:ascii="Times New Roman" w:hAnsi="Times New Roman"/>
        </w:rPr>
        <w:t>mmol/kg</w:t>
      </w:r>
      <w:r w:rsidR="0085374C">
        <w:t>), [Mg], (</w:t>
      </w:r>
      <w:r w:rsidR="00440DCB">
        <w:rPr>
          <w:rFonts w:cs="Times"/>
        </w:rPr>
        <w:t xml:space="preserve">± </w:t>
      </w:r>
      <w:r w:rsidR="00460EE2" w:rsidRPr="00460EE2">
        <w:t xml:space="preserve">4.5 </w:t>
      </w:r>
      <w:r w:rsidR="00460EE2" w:rsidRPr="00460EE2">
        <w:rPr>
          <w:rFonts w:ascii="Times New Roman" w:hAnsi="Times New Roman"/>
        </w:rPr>
        <w:t>mmol/kg</w:t>
      </w:r>
      <w:r w:rsidR="008605EF" w:rsidRPr="00460EE2">
        <w:t>),</w:t>
      </w:r>
      <w:r w:rsidR="00961950" w:rsidRPr="00460EE2">
        <w:t xml:space="preserve"> </w:t>
      </w:r>
      <w:r w:rsidR="00961950" w:rsidRPr="00460EE2">
        <w:rPr>
          <w:rStyle w:val="st"/>
          <w:rFonts w:ascii="Times New Roman" w:hAnsi="Times New Roman"/>
        </w:rPr>
        <w:t>δ</w:t>
      </w:r>
      <w:r w:rsidR="00961950" w:rsidRPr="00460EE2">
        <w:rPr>
          <w:rStyle w:val="st"/>
          <w:vertAlign w:val="superscript"/>
        </w:rPr>
        <w:t>11</w:t>
      </w:r>
      <w:r w:rsidR="00961950" w:rsidRPr="00460EE2">
        <w:rPr>
          <w:rStyle w:val="st"/>
        </w:rPr>
        <w:t>B</w:t>
      </w:r>
      <w:r w:rsidR="00961950" w:rsidRPr="00460EE2">
        <w:rPr>
          <w:rStyle w:val="st"/>
          <w:vertAlign w:val="subscript"/>
        </w:rPr>
        <w:t>planktic</w:t>
      </w:r>
      <w:r w:rsidR="00961950" w:rsidRPr="00883B0E">
        <w:rPr>
          <w:rStyle w:val="st"/>
        </w:rPr>
        <w:t xml:space="preserve"> (</w:t>
      </w:r>
      <w:r w:rsidR="00440DCB">
        <w:rPr>
          <w:rFonts w:cs="Times"/>
        </w:rPr>
        <w:t xml:space="preserve">± </w:t>
      </w:r>
      <w:r w:rsidR="00961950" w:rsidRPr="00883B0E">
        <w:rPr>
          <w:rStyle w:val="st"/>
        </w:rPr>
        <w:t xml:space="preserve">0.15-0.42 </w:t>
      </w:r>
      <w:r w:rsidR="00961950" w:rsidRPr="00883B0E">
        <w:t>‰</w:t>
      </w:r>
      <w:r w:rsidR="00961950" w:rsidRPr="00883B0E">
        <w:rPr>
          <w:rStyle w:val="st"/>
        </w:rPr>
        <w:t>)</w:t>
      </w:r>
      <w:r w:rsidR="00E04EB2">
        <w:rPr>
          <w:rStyle w:val="st"/>
        </w:rPr>
        <w:t xml:space="preserve"> and</w:t>
      </w:r>
      <w:r w:rsidR="00961950" w:rsidRPr="00883B0E">
        <w:rPr>
          <w:rStyle w:val="st"/>
        </w:rPr>
        <w:t xml:space="preserve"> </w:t>
      </w:r>
      <w:r w:rsidR="00961950" w:rsidRPr="00883B0E">
        <w:rPr>
          <w:rStyle w:val="st"/>
          <w:rFonts w:ascii="Times New Roman" w:hAnsi="Times New Roman"/>
        </w:rPr>
        <w:t>δ</w:t>
      </w:r>
      <w:r w:rsidR="00961950" w:rsidRPr="00883B0E">
        <w:rPr>
          <w:rStyle w:val="st"/>
          <w:vertAlign w:val="superscript"/>
        </w:rPr>
        <w:t>11</w:t>
      </w:r>
      <w:r w:rsidR="00961950" w:rsidRPr="00883B0E">
        <w:rPr>
          <w:rStyle w:val="st"/>
        </w:rPr>
        <w:t>B</w:t>
      </w:r>
      <w:r w:rsidR="00961950" w:rsidRPr="00883B0E">
        <w:rPr>
          <w:rStyle w:val="st"/>
          <w:vertAlign w:val="subscript"/>
        </w:rPr>
        <w:t xml:space="preserve">benthic </w:t>
      </w:r>
      <w:r w:rsidR="00961950" w:rsidRPr="00883B0E">
        <w:rPr>
          <w:rStyle w:val="st"/>
        </w:rPr>
        <w:t>(</w:t>
      </w:r>
      <w:r w:rsidR="00440DCB">
        <w:rPr>
          <w:rFonts w:cs="Times"/>
        </w:rPr>
        <w:t xml:space="preserve">± </w:t>
      </w:r>
      <w:r w:rsidR="00961950" w:rsidRPr="00883B0E">
        <w:rPr>
          <w:rStyle w:val="st"/>
        </w:rPr>
        <w:t xml:space="preserve">0.21-0.61 </w:t>
      </w:r>
      <w:r w:rsidR="00961950" w:rsidRPr="00883B0E">
        <w:t>‰</w:t>
      </w:r>
      <w:r w:rsidR="00961950" w:rsidRPr="00883B0E">
        <w:rPr>
          <w:rStyle w:val="st"/>
        </w:rPr>
        <w:t>)</w:t>
      </w:r>
      <w:r w:rsidR="00E04EB2">
        <w:rPr>
          <w:rStyle w:val="st"/>
        </w:rPr>
        <w:t>.</w:t>
      </w:r>
      <w:r w:rsidR="00961950" w:rsidRPr="00883B0E">
        <w:rPr>
          <w:rStyle w:val="st"/>
        </w:rPr>
        <w:t xml:space="preserve"> </w:t>
      </w:r>
      <w:r w:rsidR="00811286">
        <w:rPr>
          <w:rStyle w:val="st"/>
        </w:rPr>
        <w:t>For the estimate of the surface to sea floor</w:t>
      </w:r>
      <w:r w:rsidR="00811286" w:rsidRPr="00883B0E">
        <w:rPr>
          <w:rStyle w:val="st"/>
        </w:rPr>
        <w:t xml:space="preserve"> </w:t>
      </w:r>
      <w:r w:rsidR="00811286">
        <w:rPr>
          <w:rStyle w:val="st"/>
        </w:rPr>
        <w:t>pH gradient we use the central value of the ∆</w:t>
      </w:r>
      <w:r w:rsidR="00811286" w:rsidRPr="00883B0E">
        <w:rPr>
          <w:rStyle w:val="st"/>
        </w:rPr>
        <w:t>pH-</w:t>
      </w:r>
      <w:r w:rsidR="00811286">
        <w:rPr>
          <w:rStyle w:val="st"/>
        </w:rPr>
        <w:t>to-∆</w:t>
      </w:r>
      <w:r w:rsidR="00811286" w:rsidRPr="00883B0E">
        <w:rPr>
          <w:rStyle w:val="st"/>
          <w:rFonts w:ascii="Times New Roman" w:hAnsi="Times New Roman"/>
        </w:rPr>
        <w:t>δ</w:t>
      </w:r>
      <w:r w:rsidR="00811286" w:rsidRPr="00883B0E">
        <w:rPr>
          <w:rStyle w:val="st"/>
          <w:vertAlign w:val="superscript"/>
        </w:rPr>
        <w:t>13</w:t>
      </w:r>
      <w:r w:rsidR="00811286" w:rsidRPr="00883B0E">
        <w:rPr>
          <w:rStyle w:val="st"/>
        </w:rPr>
        <w:t xml:space="preserve">C relationship </w:t>
      </w:r>
      <w:r w:rsidR="00811286">
        <w:rPr>
          <w:rStyle w:val="st"/>
        </w:rPr>
        <w:t xml:space="preserve">diagnosed from our CYCLOPS and GENIE sensitivity experiments (i.e., </w:t>
      </w:r>
      <w:r w:rsidR="00811286">
        <w:t>0.175/</w:t>
      </w:r>
      <w:r w:rsidR="00811286" w:rsidRPr="00883B0E">
        <w:t>‰</w:t>
      </w:r>
      <w:r w:rsidR="00811286">
        <w:t>, see section 3.2 below) and then we assign a</w:t>
      </w:r>
      <w:r w:rsidR="00811286" w:rsidRPr="008F0146">
        <w:t xml:space="preserve"> </w:t>
      </w:r>
      <w:r w:rsidR="00811286">
        <w:rPr>
          <w:rFonts w:cs="Times"/>
        </w:rPr>
        <w:t>±</w:t>
      </w:r>
      <w:r w:rsidR="00811286">
        <w:t xml:space="preserve"> 0.05 uncertainty range </w:t>
      </w:r>
      <w:r w:rsidR="002D526E">
        <w:t xml:space="preserve">with a uniform probability (rather than a normal distribution) </w:t>
      </w:r>
      <w:r w:rsidR="00811286">
        <w:t>to the resulting surface to sea floor ∆pH estimate</w:t>
      </w:r>
      <w:r w:rsidR="00811286">
        <w:rPr>
          <w:color w:val="000000"/>
          <w:szCs w:val="18"/>
        </w:rPr>
        <w:t xml:space="preserve"> (see also Table 2). </w:t>
      </w:r>
      <w:r w:rsidR="002D526E">
        <w:rPr>
          <w:color w:val="000000"/>
          <w:szCs w:val="18"/>
        </w:rPr>
        <w:t>Thus, the</w:t>
      </w:r>
      <w:r w:rsidR="00811286">
        <w:rPr>
          <w:color w:val="000000"/>
          <w:szCs w:val="18"/>
        </w:rPr>
        <w:t xml:space="preserve"> magnitude of this nominal uncertainty is equivalent to a 0.14</w:t>
      </w:r>
      <w:r w:rsidR="00811286">
        <w:t>/</w:t>
      </w:r>
      <w:r w:rsidR="00811286" w:rsidRPr="00883B0E">
        <w:t>‰</w:t>
      </w:r>
      <w:r w:rsidR="00811286">
        <w:t xml:space="preserve"> to 0.21/</w:t>
      </w:r>
      <w:r w:rsidR="00811286" w:rsidRPr="00883B0E">
        <w:t>‰</w:t>
      </w:r>
      <w:r w:rsidR="00811286">
        <w:rPr>
          <w:color w:val="000000"/>
          <w:szCs w:val="18"/>
        </w:rPr>
        <w:t xml:space="preserve"> </w:t>
      </w:r>
      <w:r w:rsidR="00811286">
        <w:rPr>
          <w:rStyle w:val="st"/>
        </w:rPr>
        <w:t>∆</w:t>
      </w:r>
      <w:r w:rsidR="00811286" w:rsidRPr="00883B0E">
        <w:rPr>
          <w:rStyle w:val="st"/>
        </w:rPr>
        <w:t>pH</w:t>
      </w:r>
      <w:r w:rsidR="00811286">
        <w:rPr>
          <w:rStyle w:val="st"/>
        </w:rPr>
        <w:t>/∆</w:t>
      </w:r>
      <w:r w:rsidR="00811286" w:rsidRPr="00883B0E">
        <w:rPr>
          <w:rStyle w:val="st"/>
          <w:rFonts w:ascii="Times New Roman" w:hAnsi="Times New Roman"/>
        </w:rPr>
        <w:t>δ</w:t>
      </w:r>
      <w:r w:rsidR="00811286" w:rsidRPr="00883B0E">
        <w:rPr>
          <w:rStyle w:val="st"/>
          <w:vertAlign w:val="superscript"/>
        </w:rPr>
        <w:t>13</w:t>
      </w:r>
      <w:r w:rsidR="00811286" w:rsidRPr="00883B0E">
        <w:rPr>
          <w:rStyle w:val="st"/>
        </w:rPr>
        <w:t>C</w:t>
      </w:r>
      <w:r w:rsidR="00811286">
        <w:rPr>
          <w:color w:val="000000"/>
          <w:szCs w:val="18"/>
        </w:rPr>
        <w:t xml:space="preserve"> uncertainty range that spans the vast majority of our CYCLOPS and GENIE simulations</w:t>
      </w:r>
      <w:r w:rsidR="00811286">
        <w:t xml:space="preserve">, and the prediction error (RMSE) of fitting a linear relationship to the GENIE </w:t>
      </w:r>
      <w:r w:rsidR="00811286" w:rsidRPr="00883B0E">
        <w:rPr>
          <w:rStyle w:val="st"/>
        </w:rPr>
        <w:t>pH</w:t>
      </w:r>
      <w:r w:rsidR="00811286">
        <w:rPr>
          <w:rStyle w:val="st"/>
        </w:rPr>
        <w:t xml:space="preserve"> and </w:t>
      </w:r>
      <w:r w:rsidR="00811286" w:rsidRPr="00883B0E">
        <w:rPr>
          <w:rStyle w:val="st"/>
          <w:rFonts w:ascii="Times New Roman" w:hAnsi="Times New Roman"/>
        </w:rPr>
        <w:t>δ</w:t>
      </w:r>
      <w:r w:rsidR="00811286" w:rsidRPr="00883B0E">
        <w:rPr>
          <w:rStyle w:val="st"/>
          <w:vertAlign w:val="superscript"/>
        </w:rPr>
        <w:t>13</w:t>
      </w:r>
      <w:r w:rsidR="00811286" w:rsidRPr="00883B0E">
        <w:rPr>
          <w:rStyle w:val="st"/>
        </w:rPr>
        <w:t>C</w:t>
      </w:r>
      <w:r w:rsidR="00811286">
        <w:rPr>
          <w:color w:val="000000"/>
          <w:szCs w:val="18"/>
        </w:rPr>
        <w:t xml:space="preserve"> </w:t>
      </w:r>
      <w:r w:rsidR="00811286">
        <w:t>output</w:t>
      </w:r>
      <w:r w:rsidR="00811286" w:rsidRPr="008F0146">
        <w:t xml:space="preserve"> </w:t>
      </w:r>
      <w:r w:rsidR="00811286">
        <w:t xml:space="preserve">(see section 3.2 below). </w:t>
      </w:r>
      <w:r w:rsidR="000A59FC">
        <w:rPr>
          <w:rStyle w:val="st"/>
        </w:rPr>
        <w:t xml:space="preserve">The </w:t>
      </w:r>
      <w:r w:rsidR="00B52886">
        <w:rPr>
          <w:rStyle w:val="st"/>
        </w:rPr>
        <w:t xml:space="preserve">uncertainty in the </w:t>
      </w:r>
      <w:r w:rsidR="00B52886" w:rsidRPr="00B52886">
        <w:rPr>
          <w:rStyle w:val="st"/>
          <w:color w:val="000000"/>
          <w:szCs w:val="18"/>
        </w:rPr>
        <w:t>δ</w:t>
      </w:r>
      <w:r w:rsidR="00B52886" w:rsidRPr="00B52886">
        <w:rPr>
          <w:rStyle w:val="st"/>
          <w:color w:val="000000"/>
          <w:szCs w:val="12"/>
          <w:vertAlign w:val="superscript"/>
        </w:rPr>
        <w:t>11</w:t>
      </w:r>
      <w:r w:rsidR="00B52886" w:rsidRPr="00B52886">
        <w:rPr>
          <w:rStyle w:val="st"/>
          <w:color w:val="000000"/>
          <w:szCs w:val="18"/>
        </w:rPr>
        <w:t>B</w:t>
      </w:r>
      <w:r w:rsidR="00B52886">
        <w:rPr>
          <w:rStyle w:val="st"/>
        </w:rPr>
        <w:t xml:space="preserve"> measurements is calculated from the long</w:t>
      </w:r>
      <w:r w:rsidR="00AE2F93">
        <w:rPr>
          <w:rStyle w:val="st"/>
        </w:rPr>
        <w:t>-</w:t>
      </w:r>
      <w:r w:rsidR="00B52886">
        <w:rPr>
          <w:rStyle w:val="st"/>
        </w:rPr>
        <w:t xml:space="preserve">term reproducibility of </w:t>
      </w:r>
      <w:r w:rsidR="00AE2F93">
        <w:t xml:space="preserve">Japanese Geological Survey </w:t>
      </w:r>
      <w:r w:rsidR="00AE2F93">
        <w:rPr>
          <w:rStyle w:val="Emphasis"/>
        </w:rPr>
        <w:t>Porites</w:t>
      </w:r>
      <w:r w:rsidR="00AE2F93">
        <w:t xml:space="preserve"> coral standard (JCP; </w:t>
      </w:r>
      <w:r w:rsidR="00AE2F93">
        <w:rPr>
          <w:rStyle w:val="Emphasis"/>
        </w:rPr>
        <w:t>δ</w:t>
      </w:r>
      <w:r w:rsidR="00AE2F93">
        <w:rPr>
          <w:vertAlign w:val="superscript"/>
        </w:rPr>
        <w:t>11</w:t>
      </w:r>
      <w:r w:rsidR="00AE2F93">
        <w:t xml:space="preserve">B=24.3‰) at the </w:t>
      </w:r>
      <w:r w:rsidR="00AE2F93" w:rsidRPr="007E1482">
        <w:t>University of Southampton</w:t>
      </w:r>
      <w:r w:rsidR="007E1482" w:rsidRPr="007E1482">
        <w:t xml:space="preserve"> using the equations</w:t>
      </w:r>
      <w:r w:rsidR="00C26426" w:rsidRPr="007E1482">
        <w:t>:</w:t>
      </w:r>
      <w:r w:rsidR="00961950" w:rsidRPr="007E1482">
        <w:rPr>
          <w:rStyle w:val="st"/>
        </w:rPr>
        <w:t xml:space="preserve"> </w:t>
      </w:r>
    </w:p>
    <w:p w14:paraId="43731E20" w14:textId="0706151F" w:rsidR="00C26426" w:rsidRPr="007E1482" w:rsidRDefault="00C26426" w:rsidP="00C26426">
      <w:pPr>
        <w:widowControl w:val="0"/>
        <w:autoSpaceDE w:val="0"/>
        <w:autoSpaceDN w:val="0"/>
        <w:adjustRightInd w:val="0"/>
        <w:rPr>
          <w:rFonts w:ascii="Times New Roman" w:hAnsi="Times New Roman"/>
          <w:color w:val="000000" w:themeColor="text1"/>
        </w:rPr>
      </w:pPr>
      <m:oMath>
        <m:r>
          <w:rPr>
            <w:rFonts w:ascii="Cambria Math" w:hAnsi="Cambria Math"/>
            <w:color w:val="000000" w:themeColor="text1"/>
          </w:rPr>
          <m:t>2</m:t>
        </m:r>
        <m:r>
          <m:rPr>
            <m:sty m:val="p"/>
          </m:rPr>
          <w:rPr>
            <w:rFonts w:ascii="Cambria Math" w:hAnsi="Cambria Math"/>
            <w:color w:val="000000" w:themeColor="text1"/>
          </w:rPr>
          <m:t>σ=2.25</m:t>
        </m:r>
        <m:func>
          <m:funcPr>
            <m:ctrlPr>
              <w:rPr>
                <w:rFonts w:ascii="Cambria Math" w:hAnsi="Cambria Math"/>
                <w:color w:val="000000" w:themeColor="text1"/>
              </w:rPr>
            </m:ctrlPr>
          </m:funcPr>
          <m:fName>
            <m:sSup>
              <m:sSupPr>
                <m:ctrlPr>
                  <w:rPr>
                    <w:rFonts w:ascii="Cambria Math" w:hAnsi="Cambria Math"/>
                    <w:color w:val="000000" w:themeColor="text1"/>
                  </w:rPr>
                </m:ctrlPr>
              </m:sSupPr>
              <m:e>
                <m:r>
                  <m:rPr>
                    <m:sty m:val="p"/>
                  </m:rPr>
                  <w:rPr>
                    <w:rFonts w:ascii="Cambria Math" w:hAnsi="Cambria Math"/>
                    <w:color w:val="000000" w:themeColor="text1"/>
                  </w:rPr>
                  <m:t>exp</m:t>
                </m:r>
              </m:e>
              <m:sup>
                <m:r>
                  <w:rPr>
                    <w:rFonts w:ascii="Cambria Math" w:hAnsi="Cambria Math"/>
                    <w:color w:val="000000" w:themeColor="text1"/>
                  </w:rPr>
                  <m:t>-23.01[</m:t>
                </m:r>
                <m:sPre>
                  <m:sPrePr>
                    <m:ctrlPr>
                      <w:rPr>
                        <w:rFonts w:ascii="Cambria Math" w:hAnsi="Cambria Math"/>
                        <w:i/>
                        <w:color w:val="000000" w:themeColor="text1"/>
                      </w:rPr>
                    </m:ctrlPr>
                  </m:sPrePr>
                  <m:sub/>
                  <m:sup>
                    <m:r>
                      <w:rPr>
                        <w:rFonts w:ascii="Cambria Math" w:hAnsi="Cambria Math"/>
                        <w:color w:val="000000" w:themeColor="text1"/>
                      </w:rPr>
                      <m:t>11</m:t>
                    </m:r>
                  </m:sup>
                  <m:e>
                    <m:r>
                      <m:rPr>
                        <m:sty m:val="p"/>
                      </m:rPr>
                      <w:rPr>
                        <w:rFonts w:ascii="Cambria Math" w:hAnsi="Cambria Math"/>
                        <w:color w:val="000000" w:themeColor="text1"/>
                      </w:rPr>
                      <m:t>B</m:t>
                    </m:r>
                  </m:e>
                </m:sPre>
                <m:r>
                  <w:rPr>
                    <w:rFonts w:ascii="Cambria Math" w:hAnsi="Cambria Math"/>
                    <w:color w:val="000000" w:themeColor="text1"/>
                  </w:rPr>
                  <m:t>]</m:t>
                </m:r>
              </m:sup>
            </m:sSup>
          </m:fName>
          <m:e>
            <m:r>
              <w:rPr>
                <w:rFonts w:ascii="Cambria Math" w:hAnsi="Cambria Math"/>
                <w:color w:val="000000" w:themeColor="text1"/>
              </w:rPr>
              <m:t xml:space="preserve">+0.28 </m:t>
            </m:r>
            <m:sSup>
              <m:sSupPr>
                <m:ctrlPr>
                  <w:rPr>
                    <w:rFonts w:ascii="Cambria Math" w:hAnsi="Cambria Math"/>
                    <w:i/>
                    <w:color w:val="000000" w:themeColor="text1"/>
                  </w:rPr>
                </m:ctrlPr>
              </m:sSupPr>
              <m:e>
                <m:r>
                  <m:rPr>
                    <m:sty m:val="p"/>
                  </m:rPr>
                  <w:rPr>
                    <w:rFonts w:ascii="Cambria Math" w:hAnsi="Cambria Math"/>
                    <w:color w:val="000000" w:themeColor="text1"/>
                  </w:rPr>
                  <m:t>exp</m:t>
                </m:r>
              </m:e>
              <m:sup>
                <m:r>
                  <w:rPr>
                    <w:rFonts w:ascii="Cambria Math" w:hAnsi="Cambria Math"/>
                    <w:color w:val="000000" w:themeColor="text1"/>
                  </w:rPr>
                  <m:t>-0.64[</m:t>
                </m:r>
                <m:sPre>
                  <m:sPrePr>
                    <m:ctrlPr>
                      <w:rPr>
                        <w:rFonts w:ascii="Cambria Math" w:hAnsi="Cambria Math"/>
                        <w:i/>
                        <w:color w:val="000000" w:themeColor="text1"/>
                      </w:rPr>
                    </m:ctrlPr>
                  </m:sPrePr>
                  <m:sub/>
                  <m:sup>
                    <m:r>
                      <w:rPr>
                        <w:rFonts w:ascii="Cambria Math" w:hAnsi="Cambria Math"/>
                        <w:color w:val="000000" w:themeColor="text1"/>
                      </w:rPr>
                      <m:t>11</m:t>
                    </m:r>
                  </m:sup>
                  <m:e>
                    <m:r>
                      <m:rPr>
                        <m:sty m:val="p"/>
                      </m:rPr>
                      <w:rPr>
                        <w:rFonts w:ascii="Cambria Math" w:hAnsi="Cambria Math"/>
                        <w:color w:val="000000" w:themeColor="text1"/>
                      </w:rPr>
                      <m:t>B</m:t>
                    </m:r>
                  </m:e>
                </m:sPre>
                <m:r>
                  <w:rPr>
                    <w:rFonts w:ascii="Cambria Math" w:hAnsi="Cambria Math"/>
                    <w:color w:val="000000" w:themeColor="text1"/>
                  </w:rPr>
                  <m:t>]</m:t>
                </m:r>
              </m:sup>
            </m:sSup>
          </m:e>
        </m:func>
      </m:oMath>
      <w:r w:rsidRPr="007E1482">
        <w:rPr>
          <w:rFonts w:ascii="Times New Roman" w:hAnsi="Times New Roman"/>
          <w:color w:val="000000" w:themeColor="text1"/>
        </w:rPr>
        <w:tab/>
      </w:r>
      <w:r w:rsidRPr="007E1482">
        <w:rPr>
          <w:rFonts w:ascii="Times New Roman" w:hAnsi="Times New Roman"/>
          <w:color w:val="000000" w:themeColor="text1"/>
        </w:rPr>
        <w:tab/>
      </w:r>
      <w:r w:rsidRPr="007E1482">
        <w:rPr>
          <w:rFonts w:ascii="Times New Roman" w:hAnsi="Times New Roman"/>
          <w:color w:val="000000" w:themeColor="text1"/>
        </w:rPr>
        <w:tab/>
      </w:r>
      <w:r w:rsidRPr="007E1482">
        <w:rPr>
          <w:rFonts w:ascii="Times New Roman" w:hAnsi="Times New Roman"/>
          <w:color w:val="000000" w:themeColor="text1"/>
        </w:rPr>
        <w:tab/>
        <w:t>(4)</w:t>
      </w:r>
    </w:p>
    <w:p w14:paraId="624F1441" w14:textId="31154A97" w:rsidR="00C26426" w:rsidRPr="007E1482" w:rsidRDefault="00C26426" w:rsidP="00C26426">
      <w:pPr>
        <w:widowControl w:val="0"/>
        <w:autoSpaceDE w:val="0"/>
        <w:autoSpaceDN w:val="0"/>
        <w:adjustRightInd w:val="0"/>
        <w:rPr>
          <w:rFonts w:ascii="Times New Roman" w:hAnsi="Times New Roman"/>
          <w:color w:val="000000" w:themeColor="text1"/>
        </w:rPr>
      </w:pPr>
      <m:oMath>
        <m:r>
          <w:rPr>
            <w:rFonts w:ascii="Cambria Math" w:hAnsi="Cambria Math"/>
            <w:color w:val="000000" w:themeColor="text1"/>
          </w:rPr>
          <m:t>2</m:t>
        </m:r>
        <m:r>
          <m:rPr>
            <m:sty m:val="p"/>
          </m:rPr>
          <w:rPr>
            <w:rFonts w:ascii="Cambria Math" w:hAnsi="Cambria Math"/>
            <w:color w:val="000000" w:themeColor="text1"/>
          </w:rPr>
          <m:t>σ=33450</m:t>
        </m:r>
        <m:func>
          <m:funcPr>
            <m:ctrlPr>
              <w:rPr>
                <w:rFonts w:ascii="Cambria Math" w:hAnsi="Cambria Math"/>
                <w:color w:val="000000" w:themeColor="text1"/>
              </w:rPr>
            </m:ctrlPr>
          </m:funcPr>
          <m:fName>
            <m:sSup>
              <m:sSupPr>
                <m:ctrlPr>
                  <w:rPr>
                    <w:rFonts w:ascii="Cambria Math" w:hAnsi="Cambria Math"/>
                    <w:color w:val="000000" w:themeColor="text1"/>
                  </w:rPr>
                </m:ctrlPr>
              </m:sSupPr>
              <m:e>
                <m:r>
                  <m:rPr>
                    <m:sty m:val="p"/>
                  </m:rPr>
                  <w:rPr>
                    <w:rFonts w:ascii="Cambria Math" w:hAnsi="Cambria Math"/>
                    <w:color w:val="000000" w:themeColor="text1"/>
                  </w:rPr>
                  <m:t>exp</m:t>
                </m:r>
              </m:e>
              <m:sup>
                <m:r>
                  <w:rPr>
                    <w:rFonts w:ascii="Cambria Math" w:hAnsi="Cambria Math"/>
                    <w:color w:val="000000" w:themeColor="text1"/>
                  </w:rPr>
                  <m:t>-168.2[</m:t>
                </m:r>
                <m:sPre>
                  <m:sPrePr>
                    <m:ctrlPr>
                      <w:rPr>
                        <w:rFonts w:ascii="Cambria Math" w:hAnsi="Cambria Math"/>
                        <w:i/>
                        <w:color w:val="000000" w:themeColor="text1"/>
                      </w:rPr>
                    </m:ctrlPr>
                  </m:sPrePr>
                  <m:sub/>
                  <m:sup>
                    <m:r>
                      <w:rPr>
                        <w:rFonts w:ascii="Cambria Math" w:hAnsi="Cambria Math"/>
                        <w:color w:val="000000" w:themeColor="text1"/>
                      </w:rPr>
                      <m:t>11</m:t>
                    </m:r>
                  </m:sup>
                  <m:e>
                    <m:r>
                      <m:rPr>
                        <m:sty m:val="p"/>
                      </m:rPr>
                      <w:rPr>
                        <w:rFonts w:ascii="Cambria Math" w:hAnsi="Cambria Math"/>
                        <w:color w:val="000000" w:themeColor="text1"/>
                      </w:rPr>
                      <m:t>B</m:t>
                    </m:r>
                  </m:e>
                </m:sPre>
                <m:r>
                  <w:rPr>
                    <w:rFonts w:ascii="Cambria Math" w:hAnsi="Cambria Math"/>
                    <w:color w:val="000000" w:themeColor="text1"/>
                  </w:rPr>
                  <m:t>]</m:t>
                </m:r>
              </m:sup>
            </m:sSup>
          </m:fName>
          <m:e>
            <m:r>
              <w:rPr>
                <w:rFonts w:ascii="Cambria Math" w:hAnsi="Cambria Math"/>
                <w:color w:val="000000" w:themeColor="text1"/>
              </w:rPr>
              <m:t xml:space="preserve">+0.311 </m:t>
            </m:r>
            <m:sSup>
              <m:sSupPr>
                <m:ctrlPr>
                  <w:rPr>
                    <w:rFonts w:ascii="Cambria Math" w:hAnsi="Cambria Math"/>
                    <w:i/>
                    <w:color w:val="000000" w:themeColor="text1"/>
                  </w:rPr>
                </m:ctrlPr>
              </m:sSupPr>
              <m:e>
                <m:r>
                  <m:rPr>
                    <m:sty m:val="p"/>
                  </m:rPr>
                  <w:rPr>
                    <w:rFonts w:ascii="Cambria Math" w:hAnsi="Cambria Math"/>
                    <w:color w:val="000000" w:themeColor="text1"/>
                  </w:rPr>
                  <m:t>exp</m:t>
                </m:r>
              </m:e>
              <m:sup>
                <m:r>
                  <w:rPr>
                    <w:rFonts w:ascii="Cambria Math" w:hAnsi="Cambria Math"/>
                    <w:color w:val="000000" w:themeColor="text1"/>
                  </w:rPr>
                  <m:t>-1.477[</m:t>
                </m:r>
                <m:sPre>
                  <m:sPrePr>
                    <m:ctrlPr>
                      <w:rPr>
                        <w:rFonts w:ascii="Cambria Math" w:hAnsi="Cambria Math"/>
                        <w:i/>
                        <w:color w:val="000000" w:themeColor="text1"/>
                      </w:rPr>
                    </m:ctrlPr>
                  </m:sPrePr>
                  <m:sub/>
                  <m:sup>
                    <m:r>
                      <w:rPr>
                        <w:rFonts w:ascii="Cambria Math" w:hAnsi="Cambria Math"/>
                        <w:color w:val="000000" w:themeColor="text1"/>
                      </w:rPr>
                      <m:t>11</m:t>
                    </m:r>
                  </m:sup>
                  <m:e>
                    <m:r>
                      <m:rPr>
                        <m:sty m:val="p"/>
                      </m:rPr>
                      <w:rPr>
                        <w:rFonts w:ascii="Cambria Math" w:hAnsi="Cambria Math"/>
                        <w:color w:val="000000" w:themeColor="text1"/>
                      </w:rPr>
                      <m:t>B</m:t>
                    </m:r>
                  </m:e>
                </m:sPre>
                <m:r>
                  <w:rPr>
                    <w:rFonts w:ascii="Cambria Math" w:hAnsi="Cambria Math"/>
                    <w:color w:val="000000" w:themeColor="text1"/>
                  </w:rPr>
                  <m:t>]</m:t>
                </m:r>
              </m:sup>
            </m:sSup>
          </m:e>
        </m:func>
      </m:oMath>
      <w:r w:rsidRPr="007E1482">
        <w:rPr>
          <w:rFonts w:ascii="Times New Roman" w:hAnsi="Times New Roman"/>
          <w:color w:val="000000" w:themeColor="text1"/>
        </w:rPr>
        <w:tab/>
      </w:r>
      <w:r w:rsidRPr="007E1482">
        <w:rPr>
          <w:rFonts w:ascii="Times New Roman" w:hAnsi="Times New Roman"/>
          <w:color w:val="000000" w:themeColor="text1"/>
        </w:rPr>
        <w:tab/>
      </w:r>
      <w:r w:rsidRPr="007E1482">
        <w:rPr>
          <w:rFonts w:ascii="Times New Roman" w:hAnsi="Times New Roman"/>
          <w:color w:val="000000" w:themeColor="text1"/>
        </w:rPr>
        <w:tab/>
        <w:t>(5)</w:t>
      </w:r>
    </w:p>
    <w:p w14:paraId="4FD6266B" w14:textId="27527E1E" w:rsidR="00C26426" w:rsidRPr="007E1482" w:rsidRDefault="00C26426" w:rsidP="00C26426">
      <w:pPr>
        <w:widowControl w:val="0"/>
        <w:autoSpaceDE w:val="0"/>
        <w:autoSpaceDN w:val="0"/>
        <w:adjustRightInd w:val="0"/>
        <w:rPr>
          <w:rFonts w:ascii="Times New Roman" w:hAnsi="Times New Roman"/>
          <w:color w:val="000000" w:themeColor="text1"/>
        </w:rPr>
      </w:pPr>
      <w:r w:rsidRPr="007E1482">
        <w:rPr>
          <w:rFonts w:ascii="Times New Roman" w:hAnsi="Times New Roman"/>
          <w:color w:val="000000" w:themeColor="text1"/>
        </w:rPr>
        <w:t>where [</w:t>
      </w:r>
      <w:r w:rsidRPr="007E1482">
        <w:rPr>
          <w:rFonts w:ascii="Times New Roman" w:hAnsi="Times New Roman"/>
          <w:color w:val="000000" w:themeColor="text1"/>
          <w:vertAlign w:val="superscript"/>
        </w:rPr>
        <w:t>11</w:t>
      </w:r>
      <w:r w:rsidRPr="007E1482">
        <w:rPr>
          <w:rFonts w:ascii="Times New Roman" w:hAnsi="Times New Roman"/>
          <w:color w:val="000000" w:themeColor="text1"/>
        </w:rPr>
        <w:t xml:space="preserve">B] is the intensity of </w:t>
      </w:r>
      <w:r w:rsidRPr="007E1482">
        <w:rPr>
          <w:rFonts w:ascii="Times New Roman" w:hAnsi="Times New Roman"/>
          <w:color w:val="000000" w:themeColor="text1"/>
          <w:vertAlign w:val="superscript"/>
        </w:rPr>
        <w:t>11</w:t>
      </w:r>
      <w:r w:rsidRPr="007E1482">
        <w:rPr>
          <w:rFonts w:ascii="Times New Roman" w:hAnsi="Times New Roman"/>
          <w:color w:val="000000" w:themeColor="text1"/>
        </w:rPr>
        <w:t>B signal in volts and equation (</w:t>
      </w:r>
      <w:r w:rsidR="007E1482" w:rsidRPr="007E1482">
        <w:rPr>
          <w:rFonts w:ascii="Times New Roman" w:hAnsi="Times New Roman"/>
          <w:color w:val="000000" w:themeColor="text1"/>
        </w:rPr>
        <w:t>4</w:t>
      </w:r>
      <w:r w:rsidRPr="007E1482">
        <w:rPr>
          <w:rFonts w:ascii="Times New Roman" w:hAnsi="Times New Roman"/>
          <w:color w:val="000000" w:themeColor="text1"/>
        </w:rPr>
        <w:t>) and equation (5) used with 10</w:t>
      </w:r>
      <w:r w:rsidRPr="007E1482">
        <w:rPr>
          <w:rFonts w:ascii="Times New Roman" w:hAnsi="Times New Roman"/>
          <w:color w:val="000000" w:themeColor="text1"/>
          <w:vertAlign w:val="superscript"/>
        </w:rPr>
        <w:t>11</w:t>
      </w:r>
      <w:r w:rsidR="00CF399D" w:rsidRPr="00CF399D">
        <w:rPr>
          <w:rFonts w:ascii="Times New Roman" w:hAnsi="Times New Roman" w:hint="cs"/>
          <w:color w:val="000000"/>
        </w:rPr>
        <w:t xml:space="preserve"> </w:t>
      </w:r>
      <w:r w:rsidR="00CF399D" w:rsidRPr="008A63C6">
        <w:rPr>
          <w:rFonts w:ascii="Times New Roman" w:hAnsi="Times New Roman" w:hint="cs"/>
          <w:color w:val="000000"/>
        </w:rPr>
        <w:t>Ω</w:t>
      </w:r>
      <w:r w:rsidRPr="007E1482">
        <w:rPr>
          <w:rFonts w:ascii="Times New Roman" w:hAnsi="Times New Roman"/>
          <w:color w:val="000000" w:themeColor="text1"/>
        </w:rPr>
        <w:t xml:space="preserve"> and 10</w:t>
      </w:r>
      <w:r w:rsidRPr="007E1482">
        <w:rPr>
          <w:rFonts w:ascii="Times New Roman" w:hAnsi="Times New Roman"/>
          <w:color w:val="000000" w:themeColor="text1"/>
          <w:vertAlign w:val="superscript"/>
        </w:rPr>
        <w:t>12</w:t>
      </w:r>
      <w:r w:rsidR="00CF399D" w:rsidRPr="00CF399D">
        <w:rPr>
          <w:rFonts w:ascii="Times New Roman" w:hAnsi="Times New Roman" w:hint="cs"/>
          <w:color w:val="000000"/>
        </w:rPr>
        <w:t xml:space="preserve"> </w:t>
      </w:r>
      <w:r w:rsidR="00CF399D" w:rsidRPr="008A63C6">
        <w:rPr>
          <w:rFonts w:ascii="Times New Roman" w:hAnsi="Times New Roman" w:hint="cs"/>
          <w:color w:val="000000"/>
        </w:rPr>
        <w:t>Ω</w:t>
      </w:r>
      <w:r w:rsidRPr="007E1482">
        <w:rPr>
          <w:rFonts w:ascii="Times New Roman" w:hAnsi="Times New Roman"/>
          <w:color w:val="000000" w:themeColor="text1"/>
        </w:rPr>
        <w:t xml:space="preserve"> resistors, respectively.</w:t>
      </w:r>
    </w:p>
    <w:p w14:paraId="7D80CC82" w14:textId="62BE12E8" w:rsidR="005814C2" w:rsidRPr="00386CAA" w:rsidRDefault="008605EF" w:rsidP="00CE1586">
      <w:pPr>
        <w:widowControl w:val="0"/>
        <w:autoSpaceDE w:val="0"/>
        <w:autoSpaceDN w:val="0"/>
        <w:adjustRightInd w:val="0"/>
        <w:spacing w:after="240"/>
        <w:rPr>
          <w:rFonts w:eastAsiaTheme="minorEastAsia" w:cs="Times"/>
          <w:lang w:val="en-US" w:eastAsia="ja-JP"/>
        </w:rPr>
      </w:pPr>
      <w:r>
        <w:rPr>
          <w:rStyle w:val="st"/>
        </w:rPr>
        <w:t xml:space="preserve">From the </w:t>
      </w:r>
      <w:r w:rsidR="0085374C">
        <w:rPr>
          <w:rStyle w:val="st"/>
        </w:rPr>
        <w:t>10</w:t>
      </w:r>
      <w:r w:rsidR="00440DCB">
        <w:rPr>
          <w:rStyle w:val="st"/>
        </w:rPr>
        <w:t xml:space="preserve">,000 Monte </w:t>
      </w:r>
      <w:r w:rsidR="0085374C">
        <w:rPr>
          <w:rStyle w:val="st"/>
        </w:rPr>
        <w:t xml:space="preserve">Carlo </w:t>
      </w:r>
      <w:r>
        <w:rPr>
          <w:rStyle w:val="st"/>
        </w:rPr>
        <w:t xml:space="preserve">ensemble solutions of </w:t>
      </w:r>
      <w:r w:rsidR="0085374C">
        <w:rPr>
          <w:rStyle w:val="st"/>
        </w:rPr>
        <w:t xml:space="preserve">our </w:t>
      </w:r>
      <w:r>
        <w:rPr>
          <w:rStyle w:val="st"/>
        </w:rPr>
        <w:t xml:space="preserve">22 benthic-planktic </w:t>
      </w:r>
      <w:r w:rsidR="0085374C">
        <w:rPr>
          <w:rStyle w:val="st"/>
        </w:rPr>
        <w:t>pairs</w:t>
      </w:r>
      <w:r>
        <w:rPr>
          <w:rStyle w:val="st"/>
        </w:rPr>
        <w:t xml:space="preserve"> we construct 10,000 randomized records of </w:t>
      </w:r>
      <w:r w:rsidR="008E1B73" w:rsidRPr="008E1B73">
        <w:rPr>
          <w:rStyle w:val="st"/>
          <w:color w:val="000000"/>
          <w:szCs w:val="18"/>
        </w:rPr>
        <w:t>δ</w:t>
      </w:r>
      <w:r w:rsidR="008E1B73" w:rsidRPr="008E1B73">
        <w:rPr>
          <w:rStyle w:val="st"/>
          <w:color w:val="000000"/>
          <w:szCs w:val="12"/>
          <w:vertAlign w:val="superscript"/>
        </w:rPr>
        <w:t>11</w:t>
      </w:r>
      <w:r w:rsidR="008E1B73" w:rsidRPr="008E1B73">
        <w:rPr>
          <w:rStyle w:val="st"/>
          <w:color w:val="000000"/>
          <w:szCs w:val="18"/>
        </w:rPr>
        <w:t>B</w:t>
      </w:r>
      <w:r w:rsidR="008E1B73">
        <w:rPr>
          <w:rStyle w:val="st"/>
          <w:vertAlign w:val="subscript"/>
        </w:rPr>
        <w:t>sw</w:t>
      </w:r>
      <w:r>
        <w:rPr>
          <w:rStyle w:val="st"/>
        </w:rPr>
        <w:t xml:space="preserve"> as a function of time.</w:t>
      </w:r>
      <w:r w:rsidR="005965CF">
        <w:t xml:space="preserve"> </w:t>
      </w:r>
      <w:r w:rsidR="005814C2">
        <w:t xml:space="preserve">Each of these randomized </w:t>
      </w:r>
      <w:r w:rsidR="005814C2" w:rsidRPr="00460FDB">
        <w:rPr>
          <w:rStyle w:val="st"/>
          <w:color w:val="000000"/>
          <w:szCs w:val="18"/>
        </w:rPr>
        <w:t>δ</w:t>
      </w:r>
      <w:r w:rsidR="005814C2" w:rsidRPr="00460FDB">
        <w:rPr>
          <w:rStyle w:val="st"/>
          <w:color w:val="000000"/>
          <w:szCs w:val="12"/>
          <w:vertAlign w:val="superscript"/>
        </w:rPr>
        <w:t>11</w:t>
      </w:r>
      <w:r w:rsidR="005814C2" w:rsidRPr="00460FDB">
        <w:rPr>
          <w:rStyle w:val="st"/>
          <w:color w:val="000000"/>
          <w:szCs w:val="18"/>
        </w:rPr>
        <w:t>B</w:t>
      </w:r>
      <w:r w:rsidR="005814C2">
        <w:rPr>
          <w:rStyle w:val="st"/>
          <w:color w:val="000000"/>
          <w:szCs w:val="18"/>
          <w:vertAlign w:val="subscript"/>
        </w:rPr>
        <w:t>sw</w:t>
      </w:r>
      <w:r w:rsidR="005814C2">
        <w:t xml:space="preserve"> records </w:t>
      </w:r>
      <w:r w:rsidR="005965CF">
        <w:t xml:space="preserve">are </w:t>
      </w:r>
      <w:r w:rsidR="005814C2">
        <w:t>subjected to smoothing using the locally weighted scatterplot smoothing (LOWESS) algorithm with a smoothing parameter</w:t>
      </w:r>
      <w:r w:rsidR="00CF399D">
        <w:t xml:space="preserve"> (span)</w:t>
      </w:r>
      <w:r w:rsidR="005814C2">
        <w:t xml:space="preserve"> of 0.7</w:t>
      </w:r>
      <w:r w:rsidR="00E04EB2">
        <w:t>. The purpose of the smoothing is to</w:t>
      </w:r>
      <w:r w:rsidR="005814C2">
        <w:t xml:space="preserve"> </w:t>
      </w:r>
      <w:r w:rsidR="005965CF">
        <w:t>put some controls on the rate at which</w:t>
      </w:r>
      <w:r w:rsidR="002D526E">
        <w:t xml:space="preserve"> the resulting</w:t>
      </w:r>
      <w:r w:rsidR="005814C2">
        <w:t xml:space="preserve"> </w:t>
      </w:r>
      <w:r w:rsidR="00E04EB2">
        <w:t>individual Monte Carlo</w:t>
      </w:r>
      <w:r w:rsidR="002D526E">
        <w:t xml:space="preserve"> </w:t>
      </w:r>
      <w:r w:rsidR="002D526E" w:rsidRPr="00460FDB">
        <w:rPr>
          <w:rStyle w:val="st"/>
          <w:color w:val="000000"/>
          <w:szCs w:val="18"/>
        </w:rPr>
        <w:t>δ</w:t>
      </w:r>
      <w:r w:rsidR="002D526E" w:rsidRPr="00460FDB">
        <w:rPr>
          <w:rStyle w:val="st"/>
          <w:color w:val="000000"/>
          <w:szCs w:val="12"/>
          <w:vertAlign w:val="superscript"/>
        </w:rPr>
        <w:t>11</w:t>
      </w:r>
      <w:r w:rsidR="002D526E" w:rsidRPr="00460FDB">
        <w:rPr>
          <w:rStyle w:val="st"/>
          <w:color w:val="000000"/>
          <w:szCs w:val="18"/>
        </w:rPr>
        <w:t>B</w:t>
      </w:r>
      <w:r w:rsidR="002D526E">
        <w:rPr>
          <w:rStyle w:val="st"/>
          <w:color w:val="000000"/>
          <w:szCs w:val="18"/>
          <w:vertAlign w:val="subscript"/>
        </w:rPr>
        <w:t>sw</w:t>
      </w:r>
      <w:r w:rsidR="00E04EB2">
        <w:t xml:space="preserve"> records </w:t>
      </w:r>
      <w:r w:rsidR="005965CF">
        <w:t>are allowed to change</w:t>
      </w:r>
      <w:r w:rsidR="002D526E">
        <w:t>, which in reality is limited</w:t>
      </w:r>
      <w:r w:rsidR="005965CF">
        <w:t xml:space="preserve"> </w:t>
      </w:r>
      <w:r w:rsidR="005814C2">
        <w:t>by</w:t>
      </w:r>
      <w:r w:rsidR="002D526E">
        <w:t xml:space="preserve"> the</w:t>
      </w:r>
      <w:r w:rsidR="005814C2">
        <w:t xml:space="preserve"> seawater boron mass balance</w:t>
      </w:r>
      <w:r>
        <w:t xml:space="preserve"> </w:t>
      </w:r>
      <w:r>
        <w:rPr>
          <w:rStyle w:val="st"/>
        </w:rPr>
        <w:t>(</w:t>
      </w:r>
      <w:r w:rsidR="00440DCB" w:rsidRPr="00440DCB">
        <w:rPr>
          <w:rStyle w:val="tgc"/>
          <w:rFonts w:ascii="Times New Roman" w:hAnsi="Times New Roman"/>
        </w:rPr>
        <w:t>~</w:t>
      </w:r>
      <w:r w:rsidR="00440DCB">
        <w:rPr>
          <w:rStyle w:val="st"/>
        </w:rPr>
        <w:t xml:space="preserve">0.1 ‰ per million years; </w:t>
      </w:r>
      <w:r>
        <w:rPr>
          <w:rStyle w:val="st"/>
        </w:rPr>
        <w:t xml:space="preserve">boron residence time is 11-17 million years; </w:t>
      </w:r>
      <w:r>
        <w:rPr>
          <w:rStyle w:val="st"/>
          <w:noProof/>
        </w:rPr>
        <w:t>Lemarchand et al., 200</w:t>
      </w:r>
      <w:r w:rsidR="00102A50">
        <w:rPr>
          <w:rStyle w:val="st"/>
          <w:noProof/>
        </w:rPr>
        <w:t>0</w:t>
      </w:r>
      <w:r>
        <w:rPr>
          <w:rStyle w:val="st"/>
          <w:noProof/>
        </w:rPr>
        <w:t>)</w:t>
      </w:r>
      <w:r w:rsidR="005814C2">
        <w:t xml:space="preserve">. </w:t>
      </w:r>
      <w:r w:rsidR="00E04EB2">
        <w:t xml:space="preserve">Our choice of smoothing parameter allows for some of the individual Monte Carlo records to change as fast as ~1 </w:t>
      </w:r>
      <w:r w:rsidR="00E04EB2">
        <w:rPr>
          <w:rStyle w:val="st"/>
        </w:rPr>
        <w:t>‰ per million years</w:t>
      </w:r>
      <w:r w:rsidR="00E04EB2">
        <w:t>,</w:t>
      </w:r>
      <w:r w:rsidR="00982D78">
        <w:t xml:space="preserve"> although in reality the average rate of change is much smaller than this (see section 3.3). Consequently this method</w:t>
      </w:r>
      <w:r w:rsidR="00E04EB2">
        <w:t xml:space="preserve"> remov</w:t>
      </w:r>
      <w:r w:rsidR="00982D78">
        <w:t>es</w:t>
      </w:r>
      <w:r w:rsidR="00E04EB2">
        <w:t xml:space="preserve"> a significant amount of uncorrelated stochastic noise</w:t>
      </w:r>
      <w:r w:rsidR="00B82BDD">
        <w:t xml:space="preserve"> (resulting from the uncer</w:t>
      </w:r>
      <w:r w:rsidR="00D8155C">
        <w:t>tainty in our input parameters)</w:t>
      </w:r>
      <w:r w:rsidR="00E04EB2">
        <w:t xml:space="preserve"> while not smoothing away the underlying signal. </w:t>
      </w:r>
      <w:r w:rsidR="005814C2">
        <w:t>As a result of ano</w:t>
      </w:r>
      <w:r w:rsidR="00272075">
        <w:t>malously</w:t>
      </w:r>
      <w:r w:rsidR="005814C2">
        <w:t xml:space="preserve"> low </w:t>
      </w:r>
      <w:r w:rsidR="005814C2" w:rsidRPr="00D20154">
        <w:rPr>
          <w:color w:val="000000"/>
          <w:szCs w:val="18"/>
        </w:rPr>
        <w:t>δ</w:t>
      </w:r>
      <w:r w:rsidR="005814C2" w:rsidRPr="00980136">
        <w:rPr>
          <w:color w:val="000000"/>
          <w:szCs w:val="12"/>
          <w:vertAlign w:val="superscript"/>
        </w:rPr>
        <w:t>11</w:t>
      </w:r>
      <w:r w:rsidR="005814C2" w:rsidRPr="00D20154">
        <w:rPr>
          <w:color w:val="000000"/>
          <w:szCs w:val="18"/>
        </w:rPr>
        <w:t>B</w:t>
      </w:r>
      <w:r w:rsidR="005814C2">
        <w:t xml:space="preserve"> </w:t>
      </w:r>
      <w:r w:rsidR="0085374C">
        <w:t>difference</w:t>
      </w:r>
      <w:r w:rsidR="008B0392">
        <w:t>s</w:t>
      </w:r>
      <w:r w:rsidR="00D8155C">
        <w:t xml:space="preserve"> </w:t>
      </w:r>
      <w:r w:rsidR="00D8155C" w:rsidRPr="00D8155C">
        <w:t>(&lt; 1</w:t>
      </w:r>
      <w:r w:rsidR="00D8155C" w:rsidRPr="00CE1586">
        <w:rPr>
          <w:rFonts w:eastAsiaTheme="minorEastAsia" w:cs="Arial"/>
          <w:color w:val="1A1A1A"/>
          <w:lang w:val="en-US" w:eastAsia="ja-JP"/>
        </w:rPr>
        <w:t>‰</w:t>
      </w:r>
      <w:r w:rsidR="00D8155C">
        <w:rPr>
          <w:rFonts w:eastAsiaTheme="minorEastAsia" w:cs="Arial"/>
          <w:color w:val="1A1A1A"/>
          <w:lang w:val="en-US" w:eastAsia="ja-JP"/>
        </w:rPr>
        <w:t>)</w:t>
      </w:r>
      <w:r w:rsidR="005814C2">
        <w:t xml:space="preserve"> between benthic and planktic pairs, two pairs at 8.68 Ma and 19 Ma were discarded from the smoothing</w:t>
      </w:r>
      <w:r>
        <w:t>.</w:t>
      </w:r>
      <w:r w:rsidR="00B74AD5">
        <w:t xml:space="preserve"> </w:t>
      </w:r>
      <w:r w:rsidR="00B74AD5" w:rsidRPr="00811286">
        <w:rPr>
          <w:rFonts w:ascii="Times New Roman" w:eastAsiaTheme="minorEastAsia" w:hAnsi="Times New Roman"/>
          <w:lang w:val="en-US" w:eastAsia="ja-JP"/>
        </w:rPr>
        <w:t xml:space="preserve">It may be possible that preservation is not so good </w:t>
      </w:r>
      <w:r w:rsidR="005A4F65">
        <w:rPr>
          <w:rFonts w:ascii="Times New Roman" w:eastAsiaTheme="minorEastAsia" w:hAnsi="Times New Roman"/>
          <w:lang w:val="en-US" w:eastAsia="ja-JP"/>
        </w:rPr>
        <w:t>within</w:t>
      </w:r>
      <w:r w:rsidR="00B74AD5" w:rsidRPr="00811286">
        <w:rPr>
          <w:rFonts w:ascii="Times New Roman" w:eastAsiaTheme="minorEastAsia" w:hAnsi="Times New Roman"/>
          <w:lang w:val="en-US" w:eastAsia="ja-JP"/>
        </w:rPr>
        <w:t xml:space="preserve"> these intervals and the planktic foraminifera are affected by partial dissolution (Seki et al., 2010). </w:t>
      </w:r>
      <w:r w:rsidR="005965CF" w:rsidRPr="00811286">
        <w:rPr>
          <w:rFonts w:ascii="Times New Roman" w:eastAsiaTheme="minorEastAsia" w:hAnsi="Times New Roman"/>
          <w:lang w:val="en-US" w:eastAsia="ja-JP"/>
        </w:rPr>
        <w:t>T</w:t>
      </w:r>
      <w:r w:rsidR="005814C2" w:rsidRPr="00811286">
        <w:t>he</w:t>
      </w:r>
      <w:r w:rsidR="005814C2">
        <w:t xml:space="preserve"> spread of the ensemble of smoothed </w:t>
      </w:r>
      <w:r w:rsidR="005814C2" w:rsidRPr="00460FDB">
        <w:rPr>
          <w:rStyle w:val="st"/>
          <w:color w:val="000000"/>
          <w:szCs w:val="18"/>
        </w:rPr>
        <w:t>δ</w:t>
      </w:r>
      <w:r w:rsidR="005814C2" w:rsidRPr="00460FDB">
        <w:rPr>
          <w:rStyle w:val="st"/>
          <w:color w:val="000000"/>
          <w:szCs w:val="12"/>
          <w:vertAlign w:val="superscript"/>
        </w:rPr>
        <w:t>11</w:t>
      </w:r>
      <w:r w:rsidR="005814C2" w:rsidRPr="00460FDB">
        <w:rPr>
          <w:rStyle w:val="st"/>
          <w:color w:val="000000"/>
          <w:szCs w:val="18"/>
        </w:rPr>
        <w:t>B</w:t>
      </w:r>
      <w:r w:rsidR="005814C2">
        <w:rPr>
          <w:rStyle w:val="st"/>
          <w:color w:val="000000"/>
          <w:szCs w:val="18"/>
          <w:vertAlign w:val="subscript"/>
        </w:rPr>
        <w:t>sw</w:t>
      </w:r>
      <w:r w:rsidR="005814C2">
        <w:t xml:space="preserve"> curves represents the combination of the compounded, propagated uncertainties of the various inputs </w:t>
      </w:r>
      <w:r w:rsidR="00E04EB2">
        <w:t xml:space="preserve">(i.e., Monte Carlo sampling) </w:t>
      </w:r>
      <w:r w:rsidR="00D8155C">
        <w:t xml:space="preserve">with </w:t>
      </w:r>
      <w:r w:rsidR="005814C2">
        <w:t xml:space="preserve">the additional constraint of gradual </w:t>
      </w:r>
      <w:r w:rsidR="005814C2" w:rsidRPr="00460FDB">
        <w:rPr>
          <w:rStyle w:val="st"/>
          <w:color w:val="000000"/>
          <w:szCs w:val="18"/>
        </w:rPr>
        <w:t>δ</w:t>
      </w:r>
      <w:r w:rsidR="005814C2" w:rsidRPr="00460FDB">
        <w:rPr>
          <w:rStyle w:val="st"/>
          <w:color w:val="000000"/>
          <w:szCs w:val="12"/>
          <w:vertAlign w:val="superscript"/>
        </w:rPr>
        <w:t>11</w:t>
      </w:r>
      <w:r w:rsidR="005814C2" w:rsidRPr="00460FDB">
        <w:rPr>
          <w:rStyle w:val="st"/>
          <w:color w:val="000000"/>
          <w:szCs w:val="18"/>
        </w:rPr>
        <w:t>B</w:t>
      </w:r>
      <w:r w:rsidR="005814C2">
        <w:rPr>
          <w:rStyle w:val="st"/>
          <w:color w:val="000000"/>
          <w:szCs w:val="18"/>
          <w:vertAlign w:val="subscript"/>
        </w:rPr>
        <w:t>sw</w:t>
      </w:r>
      <w:r w:rsidR="005814C2">
        <w:t xml:space="preserve"> change</w:t>
      </w:r>
      <w:r w:rsidR="0085374C">
        <w:t xml:space="preserve"> over geological time</w:t>
      </w:r>
      <w:r w:rsidR="00D8155C">
        <w:t xml:space="preserve"> imposed by the inputs and outputs of boron to the ocean and the total boron inventory (i.e., the smoothing of individual Monte Carlo members.</w:t>
      </w:r>
      <w:r w:rsidR="005814C2">
        <w:t xml:space="preserve"> Va</w:t>
      </w:r>
      <w:r w:rsidR="0085374C">
        <w:t>rious statistical properties (i.e.,</w:t>
      </w:r>
      <w:r w:rsidR="005814C2">
        <w:t xml:space="preserve"> mean, median, </w:t>
      </w:r>
      <w:r w:rsidR="0085374C">
        <w:t xml:space="preserve">standard deviation </w:t>
      </w:r>
      <w:r w:rsidR="00B062B3">
        <w:t>(</w:t>
      </w:r>
      <w:r w:rsidR="0085374C">
        <w:sym w:font="Symbol" w:char="F073"/>
      </w:r>
      <w:r w:rsidR="00B062B3">
        <w:t>)</w:t>
      </w:r>
      <w:r w:rsidR="0085374C">
        <w:t xml:space="preserve">, </w:t>
      </w:r>
      <w:r w:rsidR="005814C2">
        <w:t xml:space="preserve">various quantiles) of this </w:t>
      </w:r>
      <w:r w:rsidR="005814C2" w:rsidRPr="00460FDB">
        <w:rPr>
          <w:rStyle w:val="st"/>
          <w:color w:val="000000"/>
          <w:szCs w:val="18"/>
        </w:rPr>
        <w:t>δ</w:t>
      </w:r>
      <w:r w:rsidR="005814C2" w:rsidRPr="00460FDB">
        <w:rPr>
          <w:rStyle w:val="st"/>
          <w:color w:val="000000"/>
          <w:szCs w:val="12"/>
          <w:vertAlign w:val="superscript"/>
        </w:rPr>
        <w:t>11</w:t>
      </w:r>
      <w:r w:rsidR="005814C2" w:rsidRPr="00460FDB">
        <w:rPr>
          <w:rStyle w:val="st"/>
          <w:color w:val="000000"/>
          <w:szCs w:val="18"/>
        </w:rPr>
        <w:t>B</w:t>
      </w:r>
      <w:r w:rsidR="005814C2">
        <w:rPr>
          <w:rStyle w:val="st"/>
          <w:color w:val="000000"/>
          <w:szCs w:val="18"/>
          <w:vertAlign w:val="subscript"/>
        </w:rPr>
        <w:t>sw</w:t>
      </w:r>
      <w:r w:rsidR="005814C2">
        <w:t xml:space="preserve"> reconstruction were evaluated from the ensemble</w:t>
      </w:r>
      <w:r w:rsidR="0085374C">
        <w:t xml:space="preserve"> of smoothed </w:t>
      </w:r>
      <w:r w:rsidR="0085374C" w:rsidRPr="00460FDB">
        <w:rPr>
          <w:rStyle w:val="st"/>
          <w:color w:val="000000"/>
          <w:szCs w:val="18"/>
        </w:rPr>
        <w:t>δ</w:t>
      </w:r>
      <w:r w:rsidR="0085374C" w:rsidRPr="00460FDB">
        <w:rPr>
          <w:rStyle w:val="st"/>
          <w:color w:val="000000"/>
          <w:szCs w:val="12"/>
          <w:vertAlign w:val="superscript"/>
        </w:rPr>
        <w:t>11</w:t>
      </w:r>
      <w:r w:rsidR="0085374C" w:rsidRPr="00460FDB">
        <w:rPr>
          <w:rStyle w:val="st"/>
          <w:color w:val="000000"/>
          <w:szCs w:val="18"/>
        </w:rPr>
        <w:t>B</w:t>
      </w:r>
      <w:r w:rsidR="0085374C">
        <w:rPr>
          <w:rStyle w:val="st"/>
          <w:color w:val="000000"/>
          <w:szCs w:val="18"/>
          <w:vertAlign w:val="subscript"/>
        </w:rPr>
        <w:t>sw</w:t>
      </w:r>
      <w:r w:rsidR="0085374C" w:rsidRPr="005334C1">
        <w:rPr>
          <w:rStyle w:val="st"/>
          <w:color w:val="000000"/>
          <w:szCs w:val="18"/>
        </w:rPr>
        <w:t xml:space="preserve"> records</w:t>
      </w:r>
      <w:r w:rsidR="005814C2">
        <w:t xml:space="preserve">.  Generally, for any given benthic-planktic </w:t>
      </w:r>
      <w:r w:rsidR="009E34D1">
        <w:t>pair</w:t>
      </w:r>
      <w:r w:rsidR="005814C2">
        <w:t xml:space="preserve"> the resulting </w:t>
      </w:r>
      <w:r w:rsidR="005814C2" w:rsidRPr="00460FDB">
        <w:rPr>
          <w:rStyle w:val="st"/>
          <w:color w:val="000000"/>
          <w:szCs w:val="18"/>
        </w:rPr>
        <w:t>δ</w:t>
      </w:r>
      <w:r w:rsidR="005814C2" w:rsidRPr="00460FDB">
        <w:rPr>
          <w:rStyle w:val="st"/>
          <w:color w:val="000000"/>
          <w:szCs w:val="12"/>
          <w:vertAlign w:val="superscript"/>
        </w:rPr>
        <w:t>11</w:t>
      </w:r>
      <w:r w:rsidR="005814C2" w:rsidRPr="00460FDB">
        <w:rPr>
          <w:rStyle w:val="st"/>
          <w:color w:val="000000"/>
          <w:szCs w:val="18"/>
        </w:rPr>
        <w:t>B</w:t>
      </w:r>
      <w:r w:rsidR="005814C2">
        <w:rPr>
          <w:rStyle w:val="st"/>
          <w:color w:val="000000"/>
          <w:szCs w:val="18"/>
          <w:vertAlign w:val="subscript"/>
        </w:rPr>
        <w:t>sw</w:t>
      </w:r>
      <w:r w:rsidR="005814C2">
        <w:t xml:space="preserve"> estimates are not perfectly normally distributed and thus we use the median as the metric for the central tendency</w:t>
      </w:r>
      <w:r w:rsidR="00D8155C">
        <w:t xml:space="preserve"> (i.e.,</w:t>
      </w:r>
      <w:r w:rsidR="002A76F2">
        <w:t xml:space="preserve"> placement of marker in Figure 10</w:t>
      </w:r>
      <w:r w:rsidR="00D8155C">
        <w:t>)</w:t>
      </w:r>
      <w:r w:rsidR="00530B9B">
        <w:t>.</w:t>
      </w:r>
    </w:p>
    <w:p w14:paraId="168518A3" w14:textId="6E82AF01" w:rsidR="00961950" w:rsidRDefault="00530B9B" w:rsidP="00FA27A7">
      <w:pPr>
        <w:pStyle w:val="Heading2"/>
        <w:numPr>
          <w:ilvl w:val="0"/>
          <w:numId w:val="18"/>
        </w:numPr>
      </w:pPr>
      <w:bookmarkStart w:id="8" w:name="_Toc287775653"/>
      <w:r>
        <w:t>R</w:t>
      </w:r>
      <w:r w:rsidR="00961950" w:rsidRPr="00DA24D4">
        <w:t>esults</w:t>
      </w:r>
      <w:r w:rsidR="00961950">
        <w:t xml:space="preserve"> and Discussion</w:t>
      </w:r>
      <w:bookmarkEnd w:id="8"/>
    </w:p>
    <w:p w14:paraId="0B0EE223" w14:textId="315362CA" w:rsidR="00961950" w:rsidRDefault="00961950" w:rsidP="00FA27A7">
      <w:pPr>
        <w:pStyle w:val="Heading3"/>
        <w:numPr>
          <w:ilvl w:val="1"/>
          <w:numId w:val="29"/>
        </w:numPr>
      </w:pPr>
      <w:bookmarkStart w:id="9" w:name="_Toc287775654"/>
      <w:r w:rsidRPr="00DA24D4">
        <w:rPr>
          <w:rFonts w:ascii="Times New Roman" w:hAnsi="Times New Roman" w:cs="Times New Roman"/>
        </w:rPr>
        <w:t>δ</w:t>
      </w:r>
      <w:r w:rsidRPr="00DA24D4">
        <w:rPr>
          <w:vertAlign w:val="superscript"/>
        </w:rPr>
        <w:t>11</w:t>
      </w:r>
      <w:r w:rsidRPr="00DA24D4">
        <w:t>B</w:t>
      </w:r>
      <w:r>
        <w:t xml:space="preserve"> benthic and planktic data</w:t>
      </w:r>
      <w:bookmarkEnd w:id="9"/>
    </w:p>
    <w:p w14:paraId="090ECF75" w14:textId="0156090A" w:rsidR="008B0392" w:rsidRDefault="00961950" w:rsidP="008B0392">
      <w:pPr>
        <w:rPr>
          <w:lang w:val="en-US"/>
        </w:rPr>
      </w:pPr>
      <w:r>
        <w:t xml:space="preserve">Surface and deep-ocean, </w:t>
      </w:r>
      <w:r>
        <w:rPr>
          <w:rFonts w:ascii="Times New Roman" w:hAnsi="Times New Roman"/>
        </w:rPr>
        <w:t>δ</w:t>
      </w:r>
      <w:r>
        <w:rPr>
          <w:vertAlign w:val="superscript"/>
        </w:rPr>
        <w:t>11</w:t>
      </w:r>
      <w:r w:rsidR="007526A1">
        <w:t>B</w:t>
      </w:r>
      <w:r>
        <w:t xml:space="preserve"> broadly show a similar</w:t>
      </w:r>
      <w:r w:rsidR="002A76F2">
        <w:t>, but inverse,</w:t>
      </w:r>
      <w:r>
        <w:t xml:space="preserve"> pattern</w:t>
      </w:r>
      <w:r w:rsidR="00272075">
        <w:t xml:space="preserve"> to </w:t>
      </w:r>
      <w:r w:rsidR="007526A1">
        <w:rPr>
          <w:rFonts w:ascii="Times New Roman" w:hAnsi="Times New Roman"/>
        </w:rPr>
        <w:t>δ</w:t>
      </w:r>
      <w:r w:rsidR="007526A1">
        <w:rPr>
          <w:vertAlign w:val="superscript"/>
        </w:rPr>
        <w:t>13</w:t>
      </w:r>
      <w:r w:rsidR="007526A1">
        <w:t xml:space="preserve">C and temperature </w:t>
      </w:r>
      <w:r w:rsidR="00677748">
        <w:t xml:space="preserve">throughout the Neogene (Fig. </w:t>
      </w:r>
      <w:r w:rsidR="00321545">
        <w:t>6</w:t>
      </w:r>
      <w:r>
        <w:t xml:space="preserve">). The </w:t>
      </w:r>
      <w:r>
        <w:rPr>
          <w:rFonts w:ascii="Times New Roman" w:hAnsi="Times New Roman"/>
        </w:rPr>
        <w:t>δ</w:t>
      </w:r>
      <w:r>
        <w:rPr>
          <w:vertAlign w:val="superscript"/>
        </w:rPr>
        <w:t>11</w:t>
      </w:r>
      <w:r>
        <w:t xml:space="preserve">B benthic record decreases from </w:t>
      </w:r>
      <w:r>
        <w:rPr>
          <w:rStyle w:val="st"/>
        </w:rPr>
        <w:t>~</w:t>
      </w:r>
      <w:r>
        <w:t xml:space="preserve">15 </w:t>
      </w:r>
      <w:r>
        <w:rPr>
          <w:rStyle w:val="st"/>
        </w:rPr>
        <w:t>‰</w:t>
      </w:r>
      <w:r>
        <w:t xml:space="preserve"> at 24 Ma to a minimum of 13.28 </w:t>
      </w:r>
      <w:r>
        <w:rPr>
          <w:rStyle w:val="st"/>
        </w:rPr>
        <w:t>‰</w:t>
      </w:r>
      <w:r>
        <w:t xml:space="preserve"> at 14 Ma before increasing to </w:t>
      </w:r>
      <w:r>
        <w:rPr>
          <w:rStyle w:val="st"/>
        </w:rPr>
        <w:t>~</w:t>
      </w:r>
      <w:r>
        <w:t xml:space="preserve">17 </w:t>
      </w:r>
      <w:r>
        <w:rPr>
          <w:rStyle w:val="st"/>
        </w:rPr>
        <w:t xml:space="preserve">‰ </w:t>
      </w:r>
      <w:r>
        <w:t>at present day</w:t>
      </w:r>
      <w:r>
        <w:rPr>
          <w:rStyle w:val="st"/>
        </w:rPr>
        <w:t xml:space="preserve"> </w:t>
      </w:r>
      <w:r>
        <w:t>(Fig.</w:t>
      </w:r>
      <w:r w:rsidR="00677748">
        <w:t xml:space="preserve"> </w:t>
      </w:r>
      <w:r w:rsidR="00321545">
        <w:t>6</w:t>
      </w:r>
      <w:r>
        <w:t>). This pattern and the range of values in</w:t>
      </w:r>
      <w:r w:rsidR="008B0392">
        <w:t xml:space="preserve"> benthic foraminiferal</w:t>
      </w:r>
      <w:r>
        <w:t xml:space="preserve"> </w:t>
      </w:r>
      <w:r>
        <w:rPr>
          <w:rFonts w:ascii="Times New Roman" w:hAnsi="Times New Roman"/>
        </w:rPr>
        <w:t>δ</w:t>
      </w:r>
      <w:r>
        <w:rPr>
          <w:vertAlign w:val="superscript"/>
        </w:rPr>
        <w:t>11</w:t>
      </w:r>
      <w:r>
        <w:t xml:space="preserve">B is in keeping with previously published Neogene </w:t>
      </w:r>
      <w:r>
        <w:rPr>
          <w:rFonts w:ascii="Times New Roman" w:hAnsi="Times New Roman"/>
        </w:rPr>
        <w:t>δ</w:t>
      </w:r>
      <w:r>
        <w:rPr>
          <w:vertAlign w:val="superscript"/>
        </w:rPr>
        <w:t>11</w:t>
      </w:r>
      <w:r>
        <w:t>B benthic records measur</w:t>
      </w:r>
      <w:r w:rsidR="008B0392">
        <w:t>ed</w:t>
      </w:r>
      <w:r>
        <w:t xml:space="preserve"> using NTIMS </w:t>
      </w:r>
      <w:r>
        <w:rPr>
          <w:noProof/>
        </w:rPr>
        <w:t xml:space="preserve">(Raitzsch and </w:t>
      </w:r>
      <w:r w:rsidR="0085374C">
        <w:rPr>
          <w:noProof/>
        </w:rPr>
        <w:t>Hönisch</w:t>
      </w:r>
      <w:r>
        <w:rPr>
          <w:noProof/>
        </w:rPr>
        <w:t>, 2013)</w:t>
      </w:r>
      <w:r>
        <w:t xml:space="preserve">, suggesting that our deep-water </w:t>
      </w:r>
      <w:r>
        <w:rPr>
          <w:rFonts w:ascii="Times New Roman" w:hAnsi="Times New Roman"/>
        </w:rPr>
        <w:t>δ</w:t>
      </w:r>
      <w:r>
        <w:rPr>
          <w:vertAlign w:val="superscript"/>
        </w:rPr>
        <w:t>11</w:t>
      </w:r>
      <w:r>
        <w:t>B record is representative of large scale pH</w:t>
      </w:r>
      <w:r w:rsidR="00326D0D">
        <w:t xml:space="preserve"> </w:t>
      </w:r>
      <w:r>
        <w:t xml:space="preserve">changes in the global ocean. While </w:t>
      </w:r>
      <w:r>
        <w:rPr>
          <w:lang w:val="en-US"/>
        </w:rPr>
        <w:t xml:space="preserve">the surface </w:t>
      </w:r>
      <w:r w:rsidR="00EB1149" w:rsidRPr="00F87AD9">
        <w:rPr>
          <w:rFonts w:ascii="Times New Roman" w:hAnsi="Times New Roman"/>
          <w:lang w:val="en-US"/>
        </w:rPr>
        <w:t>δ</w:t>
      </w:r>
      <w:r w:rsidR="00EB1149" w:rsidRPr="00F87AD9">
        <w:rPr>
          <w:vertAlign w:val="superscript"/>
          <w:lang w:val="en-US"/>
        </w:rPr>
        <w:t>11</w:t>
      </w:r>
      <w:r w:rsidR="00EB1149" w:rsidRPr="00F87AD9">
        <w:rPr>
          <w:lang w:val="en-US"/>
        </w:rPr>
        <w:t>B</w:t>
      </w:r>
      <w:r w:rsidR="00EB1149">
        <w:rPr>
          <w:vertAlign w:val="subscript"/>
          <w:lang w:val="en-US"/>
        </w:rPr>
        <w:t>planktic</w:t>
      </w:r>
      <w:r w:rsidR="00EB1149">
        <w:rPr>
          <w:lang w:val="en-US"/>
        </w:rPr>
        <w:t xml:space="preserve"> </w:t>
      </w:r>
      <w:r>
        <w:rPr>
          <w:rStyle w:val="st"/>
        </w:rPr>
        <w:t>remained relatively constant between 24 and 11 Ma at ~16 ‰, there is a</w:t>
      </w:r>
      <w:r w:rsidR="002344FA">
        <w:rPr>
          <w:rStyle w:val="st"/>
        </w:rPr>
        <w:t xml:space="preserve"> significant</w:t>
      </w:r>
      <w:r>
        <w:rPr>
          <w:rStyle w:val="st"/>
        </w:rPr>
        <w:t xml:space="preserve"> increase in </w:t>
      </w:r>
      <w:r w:rsidRPr="00B546A8">
        <w:rPr>
          <w:rStyle w:val="st"/>
          <w:rFonts w:ascii="Times New Roman" w:hAnsi="Times New Roman"/>
        </w:rPr>
        <w:t>δ</w:t>
      </w:r>
      <w:r w:rsidRPr="00B546A8">
        <w:rPr>
          <w:rStyle w:val="st"/>
          <w:vertAlign w:val="superscript"/>
        </w:rPr>
        <w:t>11</w:t>
      </w:r>
      <w:r w:rsidRPr="00B546A8">
        <w:rPr>
          <w:rStyle w:val="st"/>
        </w:rPr>
        <w:t>B</w:t>
      </w:r>
      <w:r>
        <w:rPr>
          <w:rStyle w:val="st"/>
        </w:rPr>
        <w:t xml:space="preserve"> between </w:t>
      </w:r>
      <w:r>
        <w:rPr>
          <w:lang w:val="en-US"/>
        </w:rPr>
        <w:t xml:space="preserve">the middle Miocene and present (values increase </w:t>
      </w:r>
      <w:r>
        <w:rPr>
          <w:rStyle w:val="st"/>
        </w:rPr>
        <w:t>to ~20 ‰) (Fig.</w:t>
      </w:r>
      <w:r w:rsidR="00677748">
        <w:rPr>
          <w:rStyle w:val="st"/>
        </w:rPr>
        <w:t xml:space="preserve"> </w:t>
      </w:r>
      <w:r w:rsidR="00321545">
        <w:rPr>
          <w:rStyle w:val="st"/>
        </w:rPr>
        <w:t>6</w:t>
      </w:r>
      <w:r>
        <w:rPr>
          <w:rStyle w:val="st"/>
        </w:rPr>
        <w:t>b). The</w:t>
      </w:r>
      <w:r w:rsidR="009E34D1">
        <w:rPr>
          <w:rStyle w:val="st"/>
        </w:rPr>
        <w:t xml:space="preserve"> reconstructed</w:t>
      </w:r>
      <w:r>
        <w:rPr>
          <w:rStyle w:val="st"/>
        </w:rPr>
        <w:t xml:space="preserve"> surface water temperatures show a long-term decrease through the Neogene from ~28</w:t>
      </w:r>
      <w:r w:rsidR="00B062B3">
        <w:rPr>
          <w:rStyle w:val="st"/>
        </w:rPr>
        <w:sym w:font="Symbol" w:char="F0B0"/>
      </w:r>
      <w:r>
        <w:rPr>
          <w:rStyle w:val="st"/>
        </w:rPr>
        <w:t>C to 24</w:t>
      </w:r>
      <w:r w:rsidR="00B062B3">
        <w:rPr>
          <w:rStyle w:val="st"/>
        </w:rPr>
        <w:sym w:font="Symbol" w:char="F0B0"/>
      </w:r>
      <w:r w:rsidR="00677748">
        <w:rPr>
          <w:rStyle w:val="st"/>
        </w:rPr>
        <w:t>C</w:t>
      </w:r>
      <w:r w:rsidR="002344FA">
        <w:rPr>
          <w:rStyle w:val="st"/>
        </w:rPr>
        <w:t>, aside from during the</w:t>
      </w:r>
      <w:r w:rsidR="009E34D1">
        <w:rPr>
          <w:rStyle w:val="st"/>
        </w:rPr>
        <w:t xml:space="preserve"> Miocene Climatic Optimum</w:t>
      </w:r>
      <w:r w:rsidR="002344FA">
        <w:rPr>
          <w:rStyle w:val="st"/>
        </w:rPr>
        <w:t xml:space="preserve"> </w:t>
      </w:r>
      <w:r w:rsidR="009E34D1">
        <w:rPr>
          <w:rStyle w:val="st"/>
        </w:rPr>
        <w:t>(</w:t>
      </w:r>
      <w:r w:rsidR="002344FA">
        <w:rPr>
          <w:rStyle w:val="st"/>
        </w:rPr>
        <w:t>MCO</w:t>
      </w:r>
      <w:r w:rsidR="009E34D1">
        <w:rPr>
          <w:rStyle w:val="st"/>
        </w:rPr>
        <w:t>)</w:t>
      </w:r>
      <w:r w:rsidR="002344FA">
        <w:rPr>
          <w:rStyle w:val="st"/>
        </w:rPr>
        <w:t xml:space="preserve"> where </w:t>
      </w:r>
      <w:r w:rsidR="006B08D0">
        <w:rPr>
          <w:rStyle w:val="st"/>
        </w:rPr>
        <w:t>maximum Neogene temperatures are reached</w:t>
      </w:r>
      <w:r w:rsidR="00677748">
        <w:rPr>
          <w:rStyle w:val="st"/>
        </w:rPr>
        <w:t xml:space="preserve"> (Fig. </w:t>
      </w:r>
      <w:r w:rsidR="00321545">
        <w:rPr>
          <w:rStyle w:val="st"/>
        </w:rPr>
        <w:t>6</w:t>
      </w:r>
      <w:r>
        <w:rPr>
          <w:rStyle w:val="st"/>
        </w:rPr>
        <w:t xml:space="preserve">c). Following </w:t>
      </w:r>
      <w:r w:rsidR="0085374C">
        <w:rPr>
          <w:rStyle w:val="st"/>
          <w:noProof/>
        </w:rPr>
        <w:t>Cramer et al.</w:t>
      </w:r>
      <w:r>
        <w:rPr>
          <w:rStyle w:val="st"/>
          <w:noProof/>
        </w:rPr>
        <w:t xml:space="preserve"> (2011)</w:t>
      </w:r>
      <w:r>
        <w:rPr>
          <w:rStyle w:val="st"/>
        </w:rPr>
        <w:t xml:space="preserve"> deep</w:t>
      </w:r>
      <w:r w:rsidR="00EE6940">
        <w:rPr>
          <w:rStyle w:val="st"/>
        </w:rPr>
        <w:t>-</w:t>
      </w:r>
      <w:r>
        <w:rPr>
          <w:rStyle w:val="st"/>
        </w:rPr>
        <w:t>water temperatures decrease from ~12</w:t>
      </w:r>
      <w:r w:rsidR="00B062B3">
        <w:rPr>
          <w:rStyle w:val="st"/>
        </w:rPr>
        <w:sym w:font="Symbol" w:char="F0B0"/>
      </w:r>
      <w:r>
        <w:rPr>
          <w:rStyle w:val="st"/>
        </w:rPr>
        <w:t>C to 4</w:t>
      </w:r>
      <w:r w:rsidR="00B062B3">
        <w:rPr>
          <w:rStyle w:val="st"/>
        </w:rPr>
        <w:sym w:font="Symbol" w:char="F0B0"/>
      </w:r>
      <w:r>
        <w:rPr>
          <w:rStyle w:val="st"/>
        </w:rPr>
        <w:t xml:space="preserve">C at </w:t>
      </w:r>
      <w:r w:rsidR="00272075">
        <w:rPr>
          <w:rStyle w:val="st"/>
        </w:rPr>
        <w:t xml:space="preserve">the </w:t>
      </w:r>
      <w:r>
        <w:rPr>
          <w:rStyle w:val="st"/>
        </w:rPr>
        <w:t>present day</w:t>
      </w:r>
      <w:r w:rsidR="00272075">
        <w:rPr>
          <w:rStyle w:val="st"/>
        </w:rPr>
        <w:t xml:space="preserve"> and similarly show</w:t>
      </w:r>
      <w:r w:rsidR="006B08D0">
        <w:rPr>
          <w:rStyle w:val="st"/>
        </w:rPr>
        <w:t xml:space="preserve"> maximum temperatures in the </w:t>
      </w:r>
      <w:r w:rsidR="008E1B73">
        <w:rPr>
          <w:rStyle w:val="st"/>
        </w:rPr>
        <w:t>MCO</w:t>
      </w:r>
      <w:r>
        <w:rPr>
          <w:rStyle w:val="st"/>
        </w:rPr>
        <w:t xml:space="preserve">. </w:t>
      </w:r>
      <w:r w:rsidR="008B0392">
        <w:rPr>
          <w:rStyle w:val="st"/>
        </w:rPr>
        <w:t xml:space="preserve">Surface and deep-water </w:t>
      </w:r>
      <w:r w:rsidR="008B0392" w:rsidRPr="009927DD">
        <w:rPr>
          <w:lang w:val="en-US"/>
        </w:rPr>
        <w:sym w:font="Symbol" w:char="0064"/>
      </w:r>
      <w:r w:rsidR="008B0392" w:rsidRPr="009927DD">
        <w:rPr>
          <w:vertAlign w:val="superscript"/>
          <w:lang w:val="en-US"/>
        </w:rPr>
        <w:t>13</w:t>
      </w:r>
      <w:r w:rsidR="008B0392" w:rsidRPr="009927DD">
        <w:rPr>
          <w:lang w:val="en-US"/>
        </w:rPr>
        <w:t>C</w:t>
      </w:r>
      <w:r w:rsidR="008B0392" w:rsidRPr="009927DD">
        <w:rPr>
          <w:vertAlign w:val="subscript"/>
          <w:lang w:val="en-US"/>
        </w:rPr>
        <w:t>DIC</w:t>
      </w:r>
      <w:r w:rsidR="008B0392">
        <w:rPr>
          <w:vertAlign w:val="subscript"/>
          <w:lang w:val="en-US"/>
        </w:rPr>
        <w:t xml:space="preserve"> </w:t>
      </w:r>
      <w:r w:rsidR="008B0392">
        <w:rPr>
          <w:lang w:val="en-US"/>
        </w:rPr>
        <w:t xml:space="preserve">both broadly decrease through the Neogene and appear to covary </w:t>
      </w:r>
      <w:r w:rsidR="00B062B3">
        <w:rPr>
          <w:lang w:val="en-US"/>
        </w:rPr>
        <w:t>on</w:t>
      </w:r>
      <w:r w:rsidR="008B0392">
        <w:rPr>
          <w:lang w:val="en-US"/>
        </w:rPr>
        <w:t xml:space="preserve"> shorter timescale</w:t>
      </w:r>
      <w:r w:rsidR="00B062B3">
        <w:rPr>
          <w:lang w:val="en-US"/>
        </w:rPr>
        <w:t>s</w:t>
      </w:r>
      <w:r w:rsidR="008B0392">
        <w:rPr>
          <w:lang w:val="en-US"/>
        </w:rPr>
        <w:t xml:space="preserve"> (Fig. </w:t>
      </w:r>
      <w:r w:rsidR="00321545">
        <w:rPr>
          <w:lang w:val="en-US"/>
        </w:rPr>
        <w:t>6</w:t>
      </w:r>
      <w:r w:rsidR="008B0392">
        <w:rPr>
          <w:lang w:val="en-US"/>
        </w:rPr>
        <w:t xml:space="preserve">e, f). </w:t>
      </w:r>
    </w:p>
    <w:p w14:paraId="05775010" w14:textId="4057F2EA" w:rsidR="008B0392" w:rsidRDefault="008B0392" w:rsidP="00961950">
      <w:pPr>
        <w:rPr>
          <w:lang w:val="en-US"/>
        </w:rPr>
      </w:pPr>
    </w:p>
    <w:p w14:paraId="622E7B11" w14:textId="4383F18D" w:rsidR="00961950" w:rsidRDefault="00961950" w:rsidP="00FA27A7">
      <w:pPr>
        <w:pStyle w:val="Heading3"/>
        <w:numPr>
          <w:ilvl w:val="1"/>
          <w:numId w:val="29"/>
        </w:numPr>
        <w:rPr>
          <w:color w:val="000000"/>
          <w:lang w:val="en-US"/>
        </w:rPr>
      </w:pPr>
      <w:bookmarkStart w:id="10" w:name="_Toc287775655"/>
      <w:r w:rsidRPr="00140F06">
        <w:rPr>
          <w:rStyle w:val="st"/>
          <w:rFonts w:cs="Times New Roman"/>
        </w:rPr>
        <w:t xml:space="preserve">The relationship between </w:t>
      </w:r>
      <w:r w:rsidRPr="00140F06">
        <w:rPr>
          <w:rFonts w:ascii="Times New Roman" w:hAnsi="Times New Roman"/>
          <w:color w:val="000000"/>
          <w:lang w:val="en-US"/>
        </w:rPr>
        <w:t>δ</w:t>
      </w:r>
      <w:r w:rsidRPr="00140F06">
        <w:rPr>
          <w:color w:val="000000"/>
          <w:vertAlign w:val="superscript"/>
          <w:lang w:val="en-US"/>
        </w:rPr>
        <w:t>13</w:t>
      </w:r>
      <w:r w:rsidRPr="00140F06">
        <w:rPr>
          <w:color w:val="000000"/>
          <w:lang w:val="en-US"/>
        </w:rPr>
        <w:t>C and pH gradients</w:t>
      </w:r>
      <w:bookmarkEnd w:id="10"/>
    </w:p>
    <w:p w14:paraId="7C81709F" w14:textId="77777777" w:rsidR="00EC2D26" w:rsidRDefault="007526A1" w:rsidP="003442CF">
      <w:pPr>
        <w:rPr>
          <w:color w:val="000000"/>
          <w:szCs w:val="18"/>
        </w:rPr>
      </w:pPr>
      <w:bookmarkStart w:id="11" w:name="_Toc287775656"/>
      <w:r>
        <w:rPr>
          <w:lang w:val="en-US"/>
        </w:rPr>
        <w:t>In</w:t>
      </w:r>
      <w:r w:rsidR="00396CB6" w:rsidRPr="00396CB6">
        <w:rPr>
          <w:lang w:val="en-US"/>
        </w:rPr>
        <w:t xml:space="preserve"> </w:t>
      </w:r>
      <w:r w:rsidR="00272075">
        <w:rPr>
          <w:lang w:val="en-US"/>
        </w:rPr>
        <w:t xml:space="preserve">the </w:t>
      </w:r>
      <w:r w:rsidR="00396CB6" w:rsidRPr="00396CB6">
        <w:rPr>
          <w:lang w:val="en-US"/>
        </w:rPr>
        <w:t xml:space="preserve">global modern ocean data, after accounting for the anthropogenic carbon, the empirical relationship between </w:t>
      </w:r>
      <w:r w:rsidR="00396CB6" w:rsidRPr="00272075">
        <w:rPr>
          <w:i/>
          <w:lang w:val="en-US"/>
        </w:rPr>
        <w:t>in</w:t>
      </w:r>
      <w:r w:rsidR="00272075" w:rsidRPr="00272075">
        <w:rPr>
          <w:i/>
          <w:lang w:val="en-US"/>
        </w:rPr>
        <w:t xml:space="preserve"> </w:t>
      </w:r>
      <w:r w:rsidR="00396CB6" w:rsidRPr="00272075">
        <w:rPr>
          <w:i/>
          <w:lang w:val="en-US"/>
        </w:rPr>
        <w:t>situ</w:t>
      </w:r>
      <w:r w:rsidR="00396CB6" w:rsidRPr="00396CB6">
        <w:rPr>
          <w:lang w:val="en-US"/>
        </w:rPr>
        <w:t xml:space="preserve"> pH and DIC </w:t>
      </w:r>
      <w:r w:rsidR="00396CB6" w:rsidRPr="00396CB6">
        <w:rPr>
          <w:color w:val="000000"/>
          <w:szCs w:val="18"/>
          <w:lang w:val="en-US"/>
        </w:rPr>
        <w:t>δ</w:t>
      </w:r>
      <w:r w:rsidR="00396CB6" w:rsidRPr="00396CB6">
        <w:rPr>
          <w:color w:val="000000"/>
          <w:szCs w:val="12"/>
          <w:vertAlign w:val="superscript"/>
          <w:lang w:val="en-US"/>
        </w:rPr>
        <w:t>13</w:t>
      </w:r>
      <w:r w:rsidR="00396CB6" w:rsidRPr="00396CB6">
        <w:rPr>
          <w:color w:val="000000"/>
          <w:szCs w:val="18"/>
          <w:lang w:val="en-US"/>
        </w:rPr>
        <w:t>C</w:t>
      </w:r>
      <w:r w:rsidR="00396CB6" w:rsidRPr="00396CB6">
        <w:rPr>
          <w:lang w:val="en-US"/>
        </w:rPr>
        <w:t xml:space="preserve"> is well described by a linear function with a slope of 0.201</w:t>
      </w:r>
      <w:r w:rsidR="00EB1149" w:rsidRPr="005758E5">
        <w:rPr>
          <w:rFonts w:ascii="Times New Roman" w:eastAsiaTheme="minorEastAsia" w:hAnsi="Times New Roman"/>
          <w:color w:val="1C1C1C"/>
          <w:lang w:val="en-US" w:eastAsia="ja-JP"/>
        </w:rPr>
        <w:t>±</w:t>
      </w:r>
      <w:r w:rsidR="00EB1149" w:rsidRPr="005758E5">
        <w:rPr>
          <w:rFonts w:ascii="Times New Roman" w:hAnsi="Times New Roman"/>
        </w:rPr>
        <w:t xml:space="preserve"> 0.005 (2</w:t>
      </w:r>
      <w:r w:rsidR="007C3C58">
        <w:sym w:font="Symbol" w:char="F073"/>
      </w:r>
      <w:r w:rsidR="00EB1149" w:rsidRPr="005758E5">
        <w:rPr>
          <w:rFonts w:ascii="Times New Roman" w:hAnsi="Times New Roman"/>
        </w:rPr>
        <w:t>)</w:t>
      </w:r>
      <w:r w:rsidR="00EB1149">
        <w:t xml:space="preserve"> </w:t>
      </w:r>
      <w:r w:rsidR="00396CB6" w:rsidRPr="00396CB6">
        <w:rPr>
          <w:lang w:val="en-US"/>
        </w:rPr>
        <w:t xml:space="preserve"> (Fig</w:t>
      </w:r>
      <w:r w:rsidR="009C2A98">
        <w:rPr>
          <w:lang w:val="en-US"/>
        </w:rPr>
        <w:t>.</w:t>
      </w:r>
      <w:r w:rsidR="00396CB6" w:rsidRPr="00396CB6">
        <w:rPr>
          <w:lang w:val="en-US"/>
        </w:rPr>
        <w:t xml:space="preserve"> </w:t>
      </w:r>
      <w:r w:rsidR="00321545">
        <w:rPr>
          <w:lang w:val="en-US"/>
        </w:rPr>
        <w:t>5</w:t>
      </w:r>
      <w:r w:rsidR="00396CB6" w:rsidRPr="00396CB6">
        <w:rPr>
          <w:lang w:val="en-US"/>
        </w:rPr>
        <w:t xml:space="preserve">; Foster et al., 2012). </w:t>
      </w:r>
      <w:r w:rsidR="002A76F2">
        <w:rPr>
          <w:lang w:val="en-US"/>
        </w:rPr>
        <w:t xml:space="preserve">However, this slope is only defined by surface waters in the North Atlantic due to a current lack of modern data where the impact of the Suess effect has been corrected </w:t>
      </w:r>
      <w:r w:rsidR="002A76F2" w:rsidRPr="005776A4">
        <w:rPr>
          <w:rFonts w:ascii="Times New Roman" w:hAnsi="Times New Roman"/>
        </w:rPr>
        <w:t xml:space="preserve">(Olsen and </w:t>
      </w:r>
      <w:r w:rsidR="002A76F2" w:rsidRPr="005776A4">
        <w:rPr>
          <w:rFonts w:ascii="Times New Roman" w:eastAsiaTheme="minorEastAsia" w:hAnsi="Times New Roman"/>
          <w:lang w:val="en-US" w:eastAsia="ja-JP"/>
        </w:rPr>
        <w:t>Ninneman</w:t>
      </w:r>
      <w:r w:rsidR="002A76F2" w:rsidRPr="005776A4">
        <w:rPr>
          <w:rFonts w:ascii="Times New Roman" w:hAnsi="Times New Roman"/>
        </w:rPr>
        <w:t>, 2010)</w:t>
      </w:r>
      <w:r w:rsidR="002A76F2">
        <w:rPr>
          <w:lang w:val="en-US"/>
        </w:rPr>
        <w:t xml:space="preserve">. Consequently we are not currently able to determine the slope between the warm-surface and cold-deep ocean in the modern ocean at our sites.  Instead, here we use the two modeling experiments to define this slope. </w:t>
      </w:r>
      <w:r w:rsidR="00E37466">
        <w:rPr>
          <w:color w:val="000000"/>
          <w:szCs w:val="18"/>
        </w:rPr>
        <w:t>In the control GENIE experiment</w:t>
      </w:r>
      <w:r w:rsidR="00D458FC">
        <w:rPr>
          <w:color w:val="000000"/>
          <w:szCs w:val="18"/>
        </w:rPr>
        <w:t xml:space="preserve"> (green star; Fig. 7)</w:t>
      </w:r>
      <w:r w:rsidR="00E37466">
        <w:rPr>
          <w:color w:val="000000"/>
          <w:szCs w:val="18"/>
        </w:rPr>
        <w:t xml:space="preserve">, the </w:t>
      </w:r>
      <w:r w:rsidR="007C3C58">
        <w:rPr>
          <w:color w:val="000000"/>
          <w:szCs w:val="18"/>
        </w:rPr>
        <w:t>central value for the slope of the pH/</w:t>
      </w:r>
      <w:r w:rsidR="007C3C58" w:rsidRPr="00D20154">
        <w:rPr>
          <w:color w:val="000000"/>
          <w:szCs w:val="18"/>
        </w:rPr>
        <w:t>δ</w:t>
      </w:r>
      <w:r w:rsidR="007C3C58" w:rsidRPr="00980136">
        <w:rPr>
          <w:color w:val="000000"/>
          <w:szCs w:val="12"/>
          <w:vertAlign w:val="superscript"/>
        </w:rPr>
        <w:t>1</w:t>
      </w:r>
      <w:r w:rsidR="007C3C58">
        <w:rPr>
          <w:color w:val="000000"/>
          <w:szCs w:val="12"/>
          <w:vertAlign w:val="superscript"/>
        </w:rPr>
        <w:t>3</w:t>
      </w:r>
      <w:r w:rsidR="007C3C58">
        <w:rPr>
          <w:color w:val="000000"/>
          <w:szCs w:val="18"/>
        </w:rPr>
        <w:t>C relationship is slightly greater than 0.2/</w:t>
      </w:r>
      <w:r w:rsidR="007C3C58">
        <w:rPr>
          <w:rStyle w:val="st"/>
        </w:rPr>
        <w:t>‰</w:t>
      </w:r>
      <w:r w:rsidR="007C3C58">
        <w:rPr>
          <w:color w:val="000000"/>
          <w:szCs w:val="18"/>
        </w:rPr>
        <w:t xml:space="preserve"> for the full 3D data regression (not shown) and about 0.175/</w:t>
      </w:r>
      <w:r w:rsidR="007C3C58">
        <w:rPr>
          <w:rStyle w:val="st"/>
        </w:rPr>
        <w:t>‰</w:t>
      </w:r>
      <w:r w:rsidR="007C3C58">
        <w:rPr>
          <w:color w:val="000000"/>
          <w:szCs w:val="18"/>
        </w:rPr>
        <w:t xml:space="preserve"> for the warm-surface-to-cold-deep ∆pH</w:t>
      </w:r>
      <w:r w:rsidR="007C3C58">
        <w:rPr>
          <w:rStyle w:val="st"/>
        </w:rPr>
        <w:t>-to-</w:t>
      </w:r>
      <w:r w:rsidR="007C3C58">
        <w:rPr>
          <w:color w:val="000000"/>
          <w:szCs w:val="18"/>
        </w:rPr>
        <w:t>∆</w:t>
      </w:r>
      <w:r w:rsidR="007C3C58" w:rsidRPr="00D20154">
        <w:rPr>
          <w:color w:val="000000"/>
          <w:szCs w:val="18"/>
        </w:rPr>
        <w:t>δ</w:t>
      </w:r>
      <w:r w:rsidR="007C3C58" w:rsidRPr="00980136">
        <w:rPr>
          <w:color w:val="000000"/>
          <w:szCs w:val="12"/>
          <w:vertAlign w:val="superscript"/>
        </w:rPr>
        <w:t>1</w:t>
      </w:r>
      <w:r w:rsidR="007C3C58">
        <w:rPr>
          <w:color w:val="000000"/>
          <w:szCs w:val="12"/>
          <w:vertAlign w:val="superscript"/>
        </w:rPr>
        <w:t>3</w:t>
      </w:r>
      <w:r w:rsidR="007C3C58">
        <w:rPr>
          <w:color w:val="000000"/>
          <w:szCs w:val="18"/>
        </w:rPr>
        <w:t>C relationship (Fig. 7) – consistent with theory</w:t>
      </w:r>
      <w:r w:rsidR="00811286">
        <w:rPr>
          <w:color w:val="000000"/>
          <w:szCs w:val="18"/>
        </w:rPr>
        <w:t xml:space="preserve"> for the effect of temperature gradients</w:t>
      </w:r>
      <w:r w:rsidR="007C3C58">
        <w:rPr>
          <w:color w:val="000000"/>
          <w:szCs w:val="18"/>
        </w:rPr>
        <w:t xml:space="preserve"> (see section 2.3).  For both ways of analysing the GENIE output the prediction uncertainty of the regressions, the root-mean-squared error (RMSE), is ~0.05/</w:t>
      </w:r>
      <w:r w:rsidR="007C3C58">
        <w:rPr>
          <w:rStyle w:val="st"/>
        </w:rPr>
        <w:t xml:space="preserve">‰ under most conditions (open red circles in Fig. 7), with the exception of </w:t>
      </w:r>
      <w:r>
        <w:rPr>
          <w:rStyle w:val="st"/>
        </w:rPr>
        <w:t xml:space="preserve">cases </w:t>
      </w:r>
      <w:r w:rsidR="007C3C58">
        <w:rPr>
          <w:rStyle w:val="st"/>
        </w:rPr>
        <w:t xml:space="preserve">where large changes in either DIC or ALK </w:t>
      </w:r>
      <w:r>
        <w:rPr>
          <w:rStyle w:val="st"/>
        </w:rPr>
        <w:t>yield</w:t>
      </w:r>
      <w:r w:rsidR="007C3C58">
        <w:rPr>
          <w:rStyle w:val="st"/>
        </w:rPr>
        <w:t xml:space="preserve"> somewhat larger changes in the relationship between </w:t>
      </w:r>
      <w:r w:rsidR="007C3C58">
        <w:rPr>
          <w:color w:val="000000"/>
          <w:szCs w:val="18"/>
        </w:rPr>
        <w:t xml:space="preserve">pH and </w:t>
      </w:r>
      <w:r w:rsidR="007C3C58" w:rsidRPr="00D20154">
        <w:rPr>
          <w:color w:val="000000"/>
          <w:szCs w:val="18"/>
        </w:rPr>
        <w:t>δ</w:t>
      </w:r>
      <w:r w:rsidR="007C3C58" w:rsidRPr="00980136">
        <w:rPr>
          <w:color w:val="000000"/>
          <w:szCs w:val="12"/>
          <w:vertAlign w:val="superscript"/>
        </w:rPr>
        <w:t>1</w:t>
      </w:r>
      <w:r w:rsidR="007C3C58">
        <w:rPr>
          <w:color w:val="000000"/>
          <w:szCs w:val="12"/>
          <w:vertAlign w:val="superscript"/>
        </w:rPr>
        <w:t>3</w:t>
      </w:r>
      <w:r w:rsidR="007C3C58">
        <w:rPr>
          <w:color w:val="000000"/>
          <w:szCs w:val="18"/>
        </w:rPr>
        <w:t xml:space="preserve">C (see below). </w:t>
      </w:r>
    </w:p>
    <w:p w14:paraId="018AA530" w14:textId="0CCA780E" w:rsidR="003442CF" w:rsidRDefault="007C3C58" w:rsidP="003442CF">
      <w:pPr>
        <w:rPr>
          <w:lang w:val="en-US"/>
        </w:rPr>
      </w:pPr>
      <w:r>
        <w:rPr>
          <w:color w:val="000000"/>
          <w:szCs w:val="18"/>
        </w:rPr>
        <w:t xml:space="preserve">In </w:t>
      </w:r>
      <w:r w:rsidRPr="00396CB6">
        <w:rPr>
          <w:color w:val="000000"/>
          <w:szCs w:val="18"/>
          <w:lang w:val="en-US"/>
        </w:rPr>
        <w:t>our CYCLOPS model ensemble</w:t>
      </w:r>
      <w:r>
        <w:rPr>
          <w:color w:val="000000"/>
          <w:szCs w:val="18"/>
          <w:lang w:val="en-US"/>
        </w:rPr>
        <w:t>,</w:t>
      </w:r>
      <w:r>
        <w:rPr>
          <w:color w:val="000000"/>
          <w:szCs w:val="18"/>
        </w:rPr>
        <w:t xml:space="preserve"> </w:t>
      </w:r>
      <w:r w:rsidR="00811286">
        <w:rPr>
          <w:color w:val="000000"/>
          <w:szCs w:val="18"/>
        </w:rPr>
        <w:t xml:space="preserve">the central value of </w:t>
      </w:r>
      <w:r>
        <w:rPr>
          <w:color w:val="000000"/>
          <w:szCs w:val="18"/>
          <w:lang w:val="en-US"/>
        </w:rPr>
        <w:t>t</w:t>
      </w:r>
      <w:r w:rsidRPr="00396CB6">
        <w:rPr>
          <w:color w:val="000000"/>
          <w:szCs w:val="18"/>
          <w:lang w:val="en-US"/>
        </w:rPr>
        <w:t>he slope</w:t>
      </w:r>
      <w:r w:rsidR="00811286">
        <w:rPr>
          <w:color w:val="000000"/>
          <w:szCs w:val="18"/>
          <w:lang w:val="en-US"/>
        </w:rPr>
        <w:t>s</w:t>
      </w:r>
      <w:r w:rsidRPr="00396CB6">
        <w:rPr>
          <w:color w:val="000000"/>
          <w:szCs w:val="18"/>
          <w:lang w:val="en-US"/>
        </w:rPr>
        <w:t xml:space="preserve"> of the </w:t>
      </w:r>
      <w:r>
        <w:rPr>
          <w:color w:val="000000"/>
          <w:szCs w:val="18"/>
          <w:lang w:val="en-US"/>
        </w:rPr>
        <w:t xml:space="preserve">full 3D </w:t>
      </w:r>
      <w:r w:rsidRPr="00396CB6">
        <w:rPr>
          <w:color w:val="000000"/>
          <w:szCs w:val="18"/>
          <w:lang w:val="en-US"/>
        </w:rPr>
        <w:t>pH</w:t>
      </w:r>
      <w:r>
        <w:rPr>
          <w:color w:val="000000"/>
          <w:szCs w:val="18"/>
          <w:lang w:val="en-US"/>
        </w:rPr>
        <w:t>/</w:t>
      </w:r>
      <w:r w:rsidRPr="00396CB6">
        <w:rPr>
          <w:color w:val="000000"/>
          <w:szCs w:val="18"/>
          <w:lang w:val="en-US"/>
        </w:rPr>
        <w:t>δ</w:t>
      </w:r>
      <w:r w:rsidRPr="00396CB6">
        <w:rPr>
          <w:color w:val="000000"/>
          <w:szCs w:val="12"/>
          <w:vertAlign w:val="superscript"/>
          <w:lang w:val="en-US"/>
        </w:rPr>
        <w:t>13</w:t>
      </w:r>
      <w:r w:rsidRPr="00396CB6">
        <w:rPr>
          <w:color w:val="000000"/>
          <w:szCs w:val="18"/>
          <w:lang w:val="en-US"/>
        </w:rPr>
        <w:t>C</w:t>
      </w:r>
      <w:r w:rsidR="00D458FC">
        <w:rPr>
          <w:color w:val="000000"/>
          <w:szCs w:val="18"/>
          <w:lang w:val="en-US"/>
        </w:rPr>
        <w:t xml:space="preserve"> regres</w:t>
      </w:r>
      <w:r>
        <w:rPr>
          <w:color w:val="000000"/>
          <w:szCs w:val="18"/>
          <w:lang w:val="en-US"/>
        </w:rPr>
        <w:t>sion</w:t>
      </w:r>
      <w:r w:rsidR="00811286">
        <w:rPr>
          <w:color w:val="000000"/>
          <w:szCs w:val="18"/>
          <w:lang w:val="en-US"/>
        </w:rPr>
        <w:t>s</w:t>
      </w:r>
      <w:r>
        <w:rPr>
          <w:color w:val="000000"/>
          <w:szCs w:val="18"/>
          <w:lang w:val="en-US"/>
        </w:rPr>
        <w:t xml:space="preserve"> and</w:t>
      </w:r>
      <w:r w:rsidR="00811286">
        <w:rPr>
          <w:color w:val="000000"/>
          <w:szCs w:val="18"/>
          <w:lang w:val="en-US"/>
        </w:rPr>
        <w:t xml:space="preserve"> of</w:t>
      </w:r>
      <w:r>
        <w:rPr>
          <w:color w:val="000000"/>
          <w:szCs w:val="18"/>
          <w:lang w:val="en-US"/>
        </w:rPr>
        <w:t xml:space="preserve"> the warm-surface-to-cold-deep</w:t>
      </w:r>
      <w:r w:rsidRPr="00396CB6">
        <w:rPr>
          <w:color w:val="000000"/>
          <w:szCs w:val="18"/>
          <w:lang w:val="en-US"/>
        </w:rPr>
        <w:t xml:space="preserve"> </w:t>
      </w:r>
      <w:r>
        <w:rPr>
          <w:color w:val="000000"/>
          <w:szCs w:val="18"/>
        </w:rPr>
        <w:t>∆pH/∆</w:t>
      </w:r>
      <w:r w:rsidRPr="00D20154">
        <w:rPr>
          <w:color w:val="000000"/>
          <w:szCs w:val="18"/>
        </w:rPr>
        <w:t>δ</w:t>
      </w:r>
      <w:r w:rsidRPr="00980136">
        <w:rPr>
          <w:color w:val="000000"/>
          <w:szCs w:val="12"/>
          <w:vertAlign w:val="superscript"/>
        </w:rPr>
        <w:t>1</w:t>
      </w:r>
      <w:r>
        <w:rPr>
          <w:color w:val="000000"/>
          <w:szCs w:val="12"/>
          <w:vertAlign w:val="superscript"/>
        </w:rPr>
        <w:t>3</w:t>
      </w:r>
      <w:r>
        <w:rPr>
          <w:color w:val="000000"/>
          <w:szCs w:val="18"/>
        </w:rPr>
        <w:t xml:space="preserve">C </w:t>
      </w:r>
      <w:r w:rsidRPr="00396CB6">
        <w:rPr>
          <w:color w:val="000000"/>
          <w:szCs w:val="18"/>
          <w:lang w:val="en-US"/>
        </w:rPr>
        <w:t>is 0.2047</w:t>
      </w:r>
      <w:r>
        <w:rPr>
          <w:color w:val="000000"/>
          <w:szCs w:val="18"/>
        </w:rPr>
        <w:t>/</w:t>
      </w:r>
      <w:r>
        <w:rPr>
          <w:rStyle w:val="st"/>
        </w:rPr>
        <w:t>‰</w:t>
      </w:r>
      <w:r>
        <w:rPr>
          <w:color w:val="000000"/>
          <w:szCs w:val="18"/>
          <w:lang w:val="en-US"/>
        </w:rPr>
        <w:t xml:space="preserve"> </w:t>
      </w:r>
      <w:r w:rsidRPr="00070F16">
        <w:rPr>
          <w:color w:val="000000"/>
          <w:szCs w:val="18"/>
          <w:lang w:val="en-US"/>
        </w:rPr>
        <w:t>(1</w:t>
      </w:r>
      <w:r>
        <w:sym w:font="Symbol" w:char="F073"/>
      </w:r>
      <w:r>
        <w:t xml:space="preserve"> of 0.0196</w:t>
      </w:r>
      <w:r>
        <w:rPr>
          <w:color w:val="000000"/>
          <w:szCs w:val="18"/>
        </w:rPr>
        <w:t>/</w:t>
      </w:r>
      <w:r>
        <w:rPr>
          <w:rStyle w:val="st"/>
        </w:rPr>
        <w:t>‰; Fig.8a</w:t>
      </w:r>
      <w:r w:rsidRPr="00070F16">
        <w:rPr>
          <w:color w:val="000000"/>
          <w:szCs w:val="18"/>
          <w:lang w:val="en-US"/>
        </w:rPr>
        <w:t>)</w:t>
      </w:r>
      <w:r>
        <w:rPr>
          <w:color w:val="000000"/>
          <w:szCs w:val="18"/>
          <w:lang w:val="en-US"/>
        </w:rPr>
        <w:t xml:space="preserve"> and 0.1797</w:t>
      </w:r>
      <w:r>
        <w:rPr>
          <w:color w:val="000000"/>
          <w:szCs w:val="18"/>
        </w:rPr>
        <w:t>/</w:t>
      </w:r>
      <w:r>
        <w:rPr>
          <w:rStyle w:val="st"/>
        </w:rPr>
        <w:t>‰</w:t>
      </w:r>
      <w:r>
        <w:rPr>
          <w:color w:val="000000"/>
          <w:szCs w:val="18"/>
          <w:lang w:val="en-US"/>
        </w:rPr>
        <w:t xml:space="preserve"> </w:t>
      </w:r>
      <w:r w:rsidRPr="00070F16">
        <w:rPr>
          <w:color w:val="000000"/>
          <w:szCs w:val="18"/>
          <w:lang w:val="en-US"/>
        </w:rPr>
        <w:t>(1</w:t>
      </w:r>
      <w:r>
        <w:sym w:font="Symbol" w:char="F073"/>
      </w:r>
      <w:r>
        <w:t xml:space="preserve"> of 0.0213</w:t>
      </w:r>
      <w:r>
        <w:rPr>
          <w:color w:val="000000"/>
          <w:szCs w:val="18"/>
        </w:rPr>
        <w:t>/</w:t>
      </w:r>
      <w:r>
        <w:rPr>
          <w:rStyle w:val="st"/>
        </w:rPr>
        <w:t>‰; Fig.8b</w:t>
      </w:r>
      <w:r w:rsidRPr="00070F16">
        <w:rPr>
          <w:color w:val="000000"/>
          <w:szCs w:val="18"/>
          <w:lang w:val="en-US"/>
        </w:rPr>
        <w:t>)</w:t>
      </w:r>
      <w:r>
        <w:rPr>
          <w:color w:val="000000"/>
          <w:szCs w:val="18"/>
          <w:lang w:val="en-US"/>
        </w:rPr>
        <w:t xml:space="preserve">, respectively. If we restrict our analysis of the CYCLOPS ensemble to only the Atlantic-basin </w:t>
      </w:r>
      <w:r>
        <w:rPr>
          <w:color w:val="000000"/>
          <w:szCs w:val="18"/>
        </w:rPr>
        <w:t>warm-surface-to-cold-deep</w:t>
      </w:r>
      <w:r>
        <w:rPr>
          <w:color w:val="000000"/>
          <w:szCs w:val="18"/>
          <w:lang w:val="en-US"/>
        </w:rPr>
        <w:t xml:space="preserve"> </w:t>
      </w:r>
      <w:r>
        <w:rPr>
          <w:color w:val="000000"/>
          <w:szCs w:val="18"/>
        </w:rPr>
        <w:t>∆pH/∆</w:t>
      </w:r>
      <w:r w:rsidRPr="00D20154">
        <w:rPr>
          <w:color w:val="000000"/>
          <w:szCs w:val="18"/>
        </w:rPr>
        <w:t>δ</w:t>
      </w:r>
      <w:r w:rsidRPr="00980136">
        <w:rPr>
          <w:color w:val="000000"/>
          <w:szCs w:val="12"/>
          <w:vertAlign w:val="superscript"/>
        </w:rPr>
        <w:t>1</w:t>
      </w:r>
      <w:r>
        <w:rPr>
          <w:color w:val="000000"/>
          <w:szCs w:val="12"/>
          <w:vertAlign w:val="superscript"/>
        </w:rPr>
        <w:t>3</w:t>
      </w:r>
      <w:r>
        <w:rPr>
          <w:color w:val="000000"/>
          <w:szCs w:val="18"/>
        </w:rPr>
        <w:t>C, where most of our samples come from, we find a relationship of only 0.1655/</w:t>
      </w:r>
      <w:r>
        <w:rPr>
          <w:rStyle w:val="st"/>
        </w:rPr>
        <w:t>‰</w:t>
      </w:r>
      <w:r>
        <w:rPr>
          <w:color w:val="000000"/>
          <w:szCs w:val="18"/>
        </w:rPr>
        <w:t xml:space="preserve"> </w:t>
      </w:r>
      <w:r w:rsidRPr="00070F16">
        <w:rPr>
          <w:color w:val="000000"/>
          <w:szCs w:val="18"/>
          <w:lang w:val="en-US"/>
        </w:rPr>
        <w:t>(1</w:t>
      </w:r>
      <w:r>
        <w:sym w:font="Symbol" w:char="F073"/>
      </w:r>
      <w:r>
        <w:t xml:space="preserve"> of 0.0192</w:t>
      </w:r>
      <w:r>
        <w:rPr>
          <w:color w:val="000000"/>
          <w:szCs w:val="18"/>
        </w:rPr>
        <w:t>/</w:t>
      </w:r>
      <w:r>
        <w:rPr>
          <w:rStyle w:val="st"/>
        </w:rPr>
        <w:t>‰; Fig.8c</w:t>
      </w:r>
      <w:r w:rsidRPr="00070F16">
        <w:rPr>
          <w:color w:val="000000"/>
          <w:szCs w:val="18"/>
          <w:lang w:val="en-US"/>
        </w:rPr>
        <w:t>)</w:t>
      </w:r>
      <w:r>
        <w:rPr>
          <w:color w:val="000000"/>
          <w:szCs w:val="18"/>
          <w:lang w:val="en-US"/>
        </w:rPr>
        <w:t>. That is, overall, we find near</w:t>
      </w:r>
      <w:r w:rsidR="003B4216">
        <w:rPr>
          <w:color w:val="000000"/>
          <w:szCs w:val="18"/>
          <w:lang w:val="en-US"/>
        </w:rPr>
        <w:t>-</w:t>
      </w:r>
      <w:r w:rsidRPr="00396CB6">
        <w:rPr>
          <w:color w:val="000000"/>
          <w:szCs w:val="18"/>
          <w:lang w:val="en-US"/>
        </w:rPr>
        <w:t xml:space="preserve">perfect agreement </w:t>
      </w:r>
      <w:r>
        <w:rPr>
          <w:color w:val="000000"/>
          <w:szCs w:val="18"/>
          <w:lang w:val="en-US"/>
        </w:rPr>
        <w:t>between</w:t>
      </w:r>
      <w:r w:rsidRPr="00396CB6">
        <w:rPr>
          <w:color w:val="000000"/>
          <w:szCs w:val="18"/>
          <w:lang w:val="en-US"/>
        </w:rPr>
        <w:t xml:space="preserve"> modern empirical data and our GENIE</w:t>
      </w:r>
      <w:r>
        <w:rPr>
          <w:color w:val="000000"/>
          <w:szCs w:val="18"/>
          <w:lang w:val="en-US"/>
        </w:rPr>
        <w:t xml:space="preserve"> and CYCLOPS</w:t>
      </w:r>
      <w:r w:rsidRPr="00396CB6">
        <w:rPr>
          <w:color w:val="000000"/>
          <w:szCs w:val="18"/>
          <w:lang w:val="en-US"/>
        </w:rPr>
        <w:t xml:space="preserve"> experiments.</w:t>
      </w:r>
      <w:r>
        <w:rPr>
          <w:color w:val="000000"/>
          <w:szCs w:val="18"/>
          <w:lang w:val="en-US"/>
        </w:rPr>
        <w:t xml:space="preserve"> </w:t>
      </w:r>
      <w:r w:rsidR="00811286">
        <w:rPr>
          <w:color w:val="000000"/>
          <w:szCs w:val="18"/>
          <w:lang w:val="en-US"/>
        </w:rPr>
        <w:t>Encouraged by this agreement we select the warm-surface-to-cold-deep</w:t>
      </w:r>
      <w:r w:rsidR="00811286" w:rsidRPr="00396CB6">
        <w:rPr>
          <w:color w:val="000000"/>
          <w:szCs w:val="18"/>
          <w:lang w:val="en-US"/>
        </w:rPr>
        <w:t xml:space="preserve"> </w:t>
      </w:r>
      <w:r w:rsidR="00811286">
        <w:rPr>
          <w:color w:val="000000"/>
          <w:szCs w:val="18"/>
        </w:rPr>
        <w:t>∆pH/∆</w:t>
      </w:r>
      <w:r w:rsidR="00811286" w:rsidRPr="00D20154">
        <w:rPr>
          <w:color w:val="000000"/>
          <w:szCs w:val="18"/>
        </w:rPr>
        <w:t>δ</w:t>
      </w:r>
      <w:r w:rsidR="00811286" w:rsidRPr="00980136">
        <w:rPr>
          <w:color w:val="000000"/>
          <w:szCs w:val="12"/>
          <w:vertAlign w:val="superscript"/>
        </w:rPr>
        <w:t>1</w:t>
      </w:r>
      <w:r w:rsidR="00811286">
        <w:rPr>
          <w:color w:val="000000"/>
          <w:szCs w:val="12"/>
          <w:vertAlign w:val="superscript"/>
        </w:rPr>
        <w:t>3</w:t>
      </w:r>
      <w:r w:rsidR="00811286">
        <w:rPr>
          <w:color w:val="000000"/>
          <w:szCs w:val="18"/>
        </w:rPr>
        <w:t xml:space="preserve">C </w:t>
      </w:r>
      <w:r w:rsidR="00811286">
        <w:rPr>
          <w:color w:val="000000"/>
          <w:szCs w:val="18"/>
          <w:lang w:val="en-US"/>
        </w:rPr>
        <w:t>central value of 0.175/</w:t>
      </w:r>
      <w:r w:rsidR="00811286">
        <w:rPr>
          <w:rStyle w:val="st"/>
        </w:rPr>
        <w:t xml:space="preserve">‰ to estimate the surface/sea floor pH difference from the planktic/benthic foraminifera </w:t>
      </w:r>
      <w:r w:rsidR="00811286" w:rsidRPr="00D20154">
        <w:rPr>
          <w:color w:val="000000"/>
          <w:szCs w:val="18"/>
        </w:rPr>
        <w:t>δ</w:t>
      </w:r>
      <w:r w:rsidR="00811286" w:rsidRPr="00980136">
        <w:rPr>
          <w:color w:val="000000"/>
          <w:szCs w:val="12"/>
          <w:vertAlign w:val="superscript"/>
        </w:rPr>
        <w:t>1</w:t>
      </w:r>
      <w:r w:rsidR="00811286">
        <w:rPr>
          <w:color w:val="000000"/>
          <w:szCs w:val="12"/>
          <w:vertAlign w:val="superscript"/>
        </w:rPr>
        <w:t>3</w:t>
      </w:r>
      <w:r w:rsidR="00811286">
        <w:rPr>
          <w:color w:val="000000"/>
          <w:szCs w:val="18"/>
        </w:rPr>
        <w:t>C difference. To account for our ignorance as to the accurate value of ∆pH/∆</w:t>
      </w:r>
      <w:r w:rsidR="00811286" w:rsidRPr="00D20154">
        <w:rPr>
          <w:color w:val="000000"/>
          <w:szCs w:val="18"/>
        </w:rPr>
        <w:t>δ</w:t>
      </w:r>
      <w:r w:rsidR="00811286" w:rsidRPr="00980136">
        <w:rPr>
          <w:color w:val="000000"/>
          <w:szCs w:val="12"/>
          <w:vertAlign w:val="superscript"/>
        </w:rPr>
        <w:t>1</w:t>
      </w:r>
      <w:r w:rsidR="00811286">
        <w:rPr>
          <w:color w:val="000000"/>
          <w:szCs w:val="12"/>
          <w:vertAlign w:val="superscript"/>
        </w:rPr>
        <w:t>3</w:t>
      </w:r>
      <w:r w:rsidR="00811286">
        <w:rPr>
          <w:color w:val="000000"/>
          <w:szCs w:val="18"/>
        </w:rPr>
        <w:t>C in the modern ocean, its</w:t>
      </w:r>
      <w:r w:rsidR="007526A1">
        <w:rPr>
          <w:color w:val="000000"/>
          <w:szCs w:val="18"/>
        </w:rPr>
        <w:t xml:space="preserve"> temporal</w:t>
      </w:r>
      <w:r w:rsidR="00811286">
        <w:rPr>
          <w:color w:val="000000"/>
          <w:szCs w:val="18"/>
        </w:rPr>
        <w:t xml:space="preserve"> changes over the course of the study interval and the inherent prediction error from using a linear ∆pH-to-∆</w:t>
      </w:r>
      <w:r w:rsidR="00811286" w:rsidRPr="00D20154">
        <w:rPr>
          <w:color w:val="000000"/>
          <w:szCs w:val="18"/>
        </w:rPr>
        <w:t>δ</w:t>
      </w:r>
      <w:r w:rsidR="00811286" w:rsidRPr="00980136">
        <w:rPr>
          <w:color w:val="000000"/>
          <w:szCs w:val="12"/>
          <w:vertAlign w:val="superscript"/>
        </w:rPr>
        <w:t>1</w:t>
      </w:r>
      <w:r w:rsidR="00811286">
        <w:rPr>
          <w:color w:val="000000"/>
          <w:szCs w:val="12"/>
          <w:vertAlign w:val="superscript"/>
        </w:rPr>
        <w:t>3</w:t>
      </w:r>
      <w:r w:rsidR="00811286">
        <w:rPr>
          <w:color w:val="000000"/>
          <w:szCs w:val="18"/>
        </w:rPr>
        <w:t>C relationship</w:t>
      </w:r>
      <w:r w:rsidR="007526A1">
        <w:rPr>
          <w:color w:val="000000"/>
          <w:szCs w:val="18"/>
        </w:rPr>
        <w:t>,</w:t>
      </w:r>
      <w:r w:rsidR="00811286">
        <w:rPr>
          <w:color w:val="000000"/>
          <w:szCs w:val="18"/>
        </w:rPr>
        <w:t xml:space="preserve"> we assign a nominal uniform uncertainty range of </w:t>
      </w:r>
      <w:r w:rsidR="00811286">
        <w:rPr>
          <w:rFonts w:cs="Times"/>
        </w:rPr>
        <w:t xml:space="preserve">±0.05 around the central </w:t>
      </w:r>
      <w:r w:rsidR="00811286">
        <w:rPr>
          <w:color w:val="000000"/>
          <w:szCs w:val="18"/>
        </w:rPr>
        <w:t>∆pH estimate</w:t>
      </w:r>
      <w:r w:rsidR="00811286">
        <w:rPr>
          <w:rStyle w:val="st"/>
        </w:rPr>
        <w:t xml:space="preserve"> for the purpose of Monte Carlo uncertainty propagation.</w:t>
      </w:r>
      <w:r>
        <w:rPr>
          <w:rStyle w:val="st"/>
        </w:rPr>
        <w:t xml:space="preserve"> Our analysis also suggests </w:t>
      </w:r>
      <w:r w:rsidR="003B4216">
        <w:rPr>
          <w:rStyle w:val="st"/>
        </w:rPr>
        <w:t>that where</w:t>
      </w:r>
      <w:r>
        <w:rPr>
          <w:rStyle w:val="st"/>
        </w:rPr>
        <w:t xml:space="preserve"> surface-to-thermocline planktic/planktic </w:t>
      </w:r>
      <w:r w:rsidR="003B4216">
        <w:rPr>
          <w:rStyle w:val="st"/>
        </w:rPr>
        <w:t>gradients are employed,</w:t>
      </w:r>
      <w:r>
        <w:rPr>
          <w:rStyle w:val="st"/>
        </w:rPr>
        <w:t xml:space="preserve"> the plausible </w:t>
      </w:r>
      <w:r>
        <w:rPr>
          <w:color w:val="000000"/>
          <w:szCs w:val="18"/>
        </w:rPr>
        <w:t>∆pH/∆</w:t>
      </w:r>
      <w:r w:rsidRPr="00D20154">
        <w:rPr>
          <w:color w:val="000000"/>
          <w:szCs w:val="18"/>
        </w:rPr>
        <w:t>δ</w:t>
      </w:r>
      <w:r w:rsidRPr="00980136">
        <w:rPr>
          <w:color w:val="000000"/>
          <w:szCs w:val="12"/>
          <w:vertAlign w:val="superscript"/>
        </w:rPr>
        <w:t>1</w:t>
      </w:r>
      <w:r>
        <w:rPr>
          <w:color w:val="000000"/>
          <w:szCs w:val="12"/>
          <w:vertAlign w:val="superscript"/>
        </w:rPr>
        <w:t>3</w:t>
      </w:r>
      <w:r>
        <w:rPr>
          <w:color w:val="000000"/>
          <w:szCs w:val="18"/>
        </w:rPr>
        <w:t>C range should be significantly higher than applied here to account for the relatively lower temperature difference.</w:t>
      </w:r>
      <w:r w:rsidR="009941BD">
        <w:rPr>
          <w:color w:val="000000"/>
          <w:szCs w:val="18"/>
        </w:rPr>
        <w:t xml:space="preserve"> </w:t>
      </w:r>
      <w:r w:rsidR="00E86C32" w:rsidRPr="00E86C32">
        <w:rPr>
          <w:rFonts w:eastAsiaTheme="minorEastAsia" w:cs="Consolas"/>
          <w:lang w:val="en-US" w:eastAsia="ja-JP"/>
        </w:rPr>
        <w:t>Based on th</w:t>
      </w:r>
      <w:r w:rsidR="00E21F82">
        <w:rPr>
          <w:rFonts w:eastAsiaTheme="minorEastAsia" w:cs="Consolas"/>
          <w:lang w:val="en-US" w:eastAsia="ja-JP"/>
        </w:rPr>
        <w:t xml:space="preserve">e appropriate </w:t>
      </w:r>
      <w:r w:rsidR="00E21F82">
        <w:rPr>
          <w:color w:val="000000"/>
          <w:szCs w:val="18"/>
        </w:rPr>
        <w:t>∆pH/∆</w:t>
      </w:r>
      <w:r w:rsidR="00E21F82" w:rsidRPr="00D20154">
        <w:rPr>
          <w:color w:val="000000"/>
          <w:szCs w:val="18"/>
        </w:rPr>
        <w:t>δ</w:t>
      </w:r>
      <w:r w:rsidR="00E21F82" w:rsidRPr="00980136">
        <w:rPr>
          <w:color w:val="000000"/>
          <w:szCs w:val="12"/>
          <w:vertAlign w:val="superscript"/>
        </w:rPr>
        <w:t>1</w:t>
      </w:r>
      <w:r w:rsidR="00E21F82">
        <w:rPr>
          <w:color w:val="000000"/>
          <w:szCs w:val="12"/>
          <w:vertAlign w:val="superscript"/>
        </w:rPr>
        <w:t>3</w:t>
      </w:r>
      <w:r w:rsidR="00E21F82">
        <w:rPr>
          <w:color w:val="000000"/>
          <w:szCs w:val="18"/>
        </w:rPr>
        <w:t>C</w:t>
      </w:r>
      <w:r w:rsidR="00E86C32" w:rsidRPr="00E86C32">
        <w:rPr>
          <w:rFonts w:eastAsiaTheme="minorEastAsia" w:cs="Consolas"/>
          <w:lang w:val="en-US" w:eastAsia="ja-JP"/>
        </w:rPr>
        <w:t xml:space="preserve"> </w:t>
      </w:r>
      <w:r w:rsidR="00E21F82">
        <w:rPr>
          <w:rFonts w:eastAsiaTheme="minorEastAsia" w:cs="Consolas"/>
          <w:lang w:val="en-US" w:eastAsia="ja-JP"/>
        </w:rPr>
        <w:t>relationship</w:t>
      </w:r>
      <w:r w:rsidR="00E86C32" w:rsidRPr="00E86C32">
        <w:rPr>
          <w:rFonts w:eastAsiaTheme="minorEastAsia" w:cs="Consolas"/>
          <w:lang w:val="en-US" w:eastAsia="ja-JP"/>
        </w:rPr>
        <w:t xml:space="preserve"> we reconstruct a time varying surface</w:t>
      </w:r>
      <w:r w:rsidR="007526A1">
        <w:rPr>
          <w:rFonts w:eastAsiaTheme="minorEastAsia" w:cs="Consolas"/>
          <w:lang w:val="en-US" w:eastAsia="ja-JP"/>
        </w:rPr>
        <w:t>-</w:t>
      </w:r>
      <w:r w:rsidR="00E86C32" w:rsidRPr="00E86C32">
        <w:rPr>
          <w:rFonts w:eastAsiaTheme="minorEastAsia" w:cs="Consolas"/>
          <w:lang w:val="en-US" w:eastAsia="ja-JP"/>
        </w:rPr>
        <w:t>to</w:t>
      </w:r>
      <w:r w:rsidR="007526A1">
        <w:rPr>
          <w:rFonts w:eastAsiaTheme="minorEastAsia" w:cs="Consolas"/>
          <w:lang w:val="en-US" w:eastAsia="ja-JP"/>
        </w:rPr>
        <w:t>-</w:t>
      </w:r>
      <w:r w:rsidR="00E86C32">
        <w:rPr>
          <w:rFonts w:eastAsiaTheme="minorEastAsia" w:cs="Consolas"/>
          <w:lang w:val="en-US" w:eastAsia="ja-JP"/>
        </w:rPr>
        <w:t>deep pH gradient, which ranges </w:t>
      </w:r>
      <w:r w:rsidR="00E86C32" w:rsidRPr="00E86C32">
        <w:rPr>
          <w:rFonts w:eastAsiaTheme="minorEastAsia" w:cs="Consolas"/>
          <w:lang w:val="en-US" w:eastAsia="ja-JP"/>
        </w:rPr>
        <w:t>between 0.14 and 0.35 pH</w:t>
      </w:r>
      <w:r w:rsidR="00E86C32">
        <w:rPr>
          <w:rFonts w:eastAsiaTheme="minorEastAsia" w:cs="Consolas"/>
          <w:lang w:val="en-US" w:eastAsia="ja-JP"/>
        </w:rPr>
        <w:t xml:space="preserve"> units</w:t>
      </w:r>
      <w:r w:rsidR="00E86C32" w:rsidRPr="00E86C32">
        <w:rPr>
          <w:rFonts w:eastAsiaTheme="minorEastAsia" w:cs="Consolas"/>
          <w:lang w:val="en-US" w:eastAsia="ja-JP"/>
        </w:rPr>
        <w:t xml:space="preserve"> over our study interval (Fig. 9) and apply a flat uncertainty of ±</w:t>
      </w:r>
      <w:r w:rsidR="00CD4B3D">
        <w:rPr>
          <w:rFonts w:eastAsiaTheme="minorEastAsia" w:cs="Consolas"/>
          <w:lang w:val="en-US" w:eastAsia="ja-JP"/>
        </w:rPr>
        <w:t xml:space="preserve"> </w:t>
      </w:r>
      <w:r w:rsidR="00E86C32" w:rsidRPr="00E86C32">
        <w:rPr>
          <w:rFonts w:eastAsiaTheme="minorEastAsia" w:cs="Consolas"/>
          <w:lang w:val="en-US" w:eastAsia="ja-JP"/>
        </w:rPr>
        <w:t>0.05. The reconstructed pH gradient remains broadly within the range of</w:t>
      </w:r>
      <w:r w:rsidR="00E86C32">
        <w:rPr>
          <w:rFonts w:eastAsiaTheme="minorEastAsia" w:cs="Consolas"/>
          <w:lang w:val="en-US" w:eastAsia="ja-JP"/>
        </w:rPr>
        <w:t xml:space="preserve"> the modern values (0.19 to 0.3</w:t>
      </w:r>
      <w:r w:rsidR="00E86C32" w:rsidRPr="00E86C32">
        <w:rPr>
          <w:rFonts w:eastAsiaTheme="minorEastAsia" w:cs="Consolas"/>
          <w:lang w:val="en-US" w:eastAsia="ja-JP"/>
        </w:rPr>
        <w:t xml:space="preserve">) although there is some evidence of </w:t>
      </w:r>
      <w:r w:rsidR="00E561FB">
        <w:rPr>
          <w:rFonts w:eastAsiaTheme="minorEastAsia" w:cs="Consolas"/>
          <w:lang w:val="en-US" w:eastAsia="ja-JP"/>
        </w:rPr>
        <w:t>multi</w:t>
      </w:r>
      <w:r w:rsidR="00E86C32" w:rsidRPr="00E86C32">
        <w:rPr>
          <w:rFonts w:eastAsiaTheme="minorEastAsia" w:cs="Consolas"/>
          <w:lang w:val="en-US" w:eastAsia="ja-JP"/>
        </w:rPr>
        <w:t>-million year scale variability</w:t>
      </w:r>
      <w:r w:rsidR="00CD4B3D">
        <w:rPr>
          <w:rFonts w:eastAsiaTheme="minorEastAsia" w:cs="Consolas"/>
          <w:lang w:val="en-US" w:eastAsia="ja-JP"/>
        </w:rPr>
        <w:t xml:space="preserve"> (Fig. 9)</w:t>
      </w:r>
      <w:r w:rsidR="00E86C32" w:rsidRPr="00E86C32">
        <w:rPr>
          <w:rFonts w:eastAsiaTheme="minorEastAsia" w:cs="Consolas"/>
          <w:lang w:val="en-US" w:eastAsia="ja-JP"/>
        </w:rPr>
        <w:t>.</w:t>
      </w:r>
    </w:p>
    <w:p w14:paraId="4382A738" w14:textId="17C9344A" w:rsidR="007C3C58" w:rsidRPr="00E37466" w:rsidRDefault="007C3C58" w:rsidP="009941BD">
      <w:pPr>
        <w:rPr>
          <w:color w:val="000000"/>
          <w:szCs w:val="18"/>
          <w:lang w:val="en-US"/>
        </w:rPr>
      </w:pPr>
      <w:r>
        <w:rPr>
          <w:color w:val="000000"/>
          <w:szCs w:val="18"/>
        </w:rPr>
        <w:t>As a caveat to our usage of the ∆pH-to-∆</w:t>
      </w:r>
      <w:r w:rsidRPr="00D20154">
        <w:rPr>
          <w:color w:val="000000"/>
          <w:szCs w:val="18"/>
        </w:rPr>
        <w:t>δ</w:t>
      </w:r>
      <w:r w:rsidRPr="00980136">
        <w:rPr>
          <w:color w:val="000000"/>
          <w:szCs w:val="12"/>
          <w:vertAlign w:val="superscript"/>
        </w:rPr>
        <w:t>1</w:t>
      </w:r>
      <w:r>
        <w:rPr>
          <w:color w:val="000000"/>
          <w:szCs w:val="12"/>
          <w:vertAlign w:val="superscript"/>
        </w:rPr>
        <w:t>3</w:t>
      </w:r>
      <w:r>
        <w:rPr>
          <w:color w:val="000000"/>
          <w:szCs w:val="18"/>
        </w:rPr>
        <w:t xml:space="preserve">C relationship we point to changes of that </w:t>
      </w:r>
      <w:r w:rsidR="003B4216">
        <w:rPr>
          <w:color w:val="000000"/>
          <w:szCs w:val="18"/>
        </w:rPr>
        <w:t>relationship</w:t>
      </w:r>
      <w:r>
        <w:rPr>
          <w:color w:val="000000"/>
          <w:szCs w:val="18"/>
        </w:rPr>
        <w:t xml:space="preserve"> that arise in our GENIE sensitivity experiments where carbon and alkalinity inventories are manipulated, which can yield values outside of what </w:t>
      </w:r>
      <w:r w:rsidR="00D458FC">
        <w:rPr>
          <w:color w:val="000000"/>
          <w:szCs w:val="18"/>
        </w:rPr>
        <w:t>is</w:t>
      </w:r>
      <w:r>
        <w:rPr>
          <w:color w:val="000000"/>
          <w:szCs w:val="18"/>
        </w:rPr>
        <w:t xml:space="preserve"> plausible. We note that our CYCLOPS ensemble samples a very much wider range of carbon and alkalinity inventories with ∆pH/∆</w:t>
      </w:r>
      <w:r w:rsidRPr="00D20154">
        <w:rPr>
          <w:color w:val="000000"/>
          <w:szCs w:val="18"/>
        </w:rPr>
        <w:t>δ</w:t>
      </w:r>
      <w:r w:rsidRPr="00980136">
        <w:rPr>
          <w:color w:val="000000"/>
          <w:szCs w:val="12"/>
          <w:vertAlign w:val="superscript"/>
        </w:rPr>
        <w:t>1</w:t>
      </w:r>
      <w:r>
        <w:rPr>
          <w:color w:val="000000"/>
          <w:szCs w:val="12"/>
          <w:vertAlign w:val="superscript"/>
        </w:rPr>
        <w:t>3</w:t>
      </w:r>
      <w:r>
        <w:rPr>
          <w:color w:val="000000"/>
          <w:szCs w:val="18"/>
        </w:rPr>
        <w:t>C remaining inside that range. While CYCLOPS simulates the balance between weathering and CaCO</w:t>
      </w:r>
      <w:r w:rsidRPr="00CE3F24">
        <w:rPr>
          <w:color w:val="000000"/>
          <w:szCs w:val="18"/>
          <w:vertAlign w:val="subscript"/>
        </w:rPr>
        <w:t>3</w:t>
      </w:r>
      <w:r>
        <w:rPr>
          <w:color w:val="000000"/>
          <w:szCs w:val="18"/>
        </w:rPr>
        <w:t xml:space="preserve"> burial, which is known to neutralize sudden carbon or alkalinity perturbations on timescales much less than one million years, the configuration used for our GENIE simulations does not and is therefore subject to states of ocean carbon chemistry that can safely be ruled out for our study interval and likely for most of the Phanerozoic. The differing outputs from CYCLOPS and GENIE in the DIC and ALK experiments </w:t>
      </w:r>
      <w:r w:rsidR="007526A1">
        <w:rPr>
          <w:color w:val="000000"/>
          <w:szCs w:val="18"/>
        </w:rPr>
        <w:t>shows</w:t>
      </w:r>
      <w:r>
        <w:rPr>
          <w:color w:val="000000"/>
          <w:szCs w:val="18"/>
        </w:rPr>
        <w:t xml:space="preserve"> that ∆pH/∆</w:t>
      </w:r>
      <w:r w:rsidRPr="00D20154">
        <w:rPr>
          <w:color w:val="000000"/>
          <w:szCs w:val="18"/>
        </w:rPr>
        <w:t>δ</w:t>
      </w:r>
      <w:r w:rsidRPr="00980136">
        <w:rPr>
          <w:color w:val="000000"/>
          <w:szCs w:val="12"/>
          <w:vertAlign w:val="superscript"/>
        </w:rPr>
        <w:t>1</w:t>
      </w:r>
      <w:r>
        <w:rPr>
          <w:color w:val="000000"/>
          <w:szCs w:val="12"/>
          <w:vertAlign w:val="superscript"/>
        </w:rPr>
        <w:t>3</w:t>
      </w:r>
      <w:r>
        <w:rPr>
          <w:color w:val="000000"/>
          <w:szCs w:val="18"/>
        </w:rPr>
        <w:t>C depe</w:t>
      </w:r>
      <w:r w:rsidR="00811286">
        <w:rPr>
          <w:color w:val="000000"/>
          <w:szCs w:val="18"/>
        </w:rPr>
        <w:t>nds on background seawater acid/</w:t>
      </w:r>
      <w:r>
        <w:rPr>
          <w:color w:val="000000"/>
          <w:szCs w:val="18"/>
        </w:rPr>
        <w:t xml:space="preserve">base chemistry, in ways that are not yet fully understood. That said, </w:t>
      </w:r>
      <w:r w:rsidR="00D458FC">
        <w:rPr>
          <w:color w:val="000000"/>
          <w:szCs w:val="18"/>
        </w:rPr>
        <w:t>the generally coherent nature of our</w:t>
      </w:r>
      <w:r>
        <w:rPr>
          <w:color w:val="000000"/>
          <w:szCs w:val="18"/>
        </w:rPr>
        <w:t xml:space="preserve"> results </w:t>
      </w:r>
      <w:r w:rsidR="00D458FC">
        <w:rPr>
          <w:color w:val="000000"/>
          <w:szCs w:val="18"/>
        </w:rPr>
        <w:t xml:space="preserve">confirms </w:t>
      </w:r>
      <w:r w:rsidR="007526A1">
        <w:rPr>
          <w:color w:val="000000"/>
          <w:szCs w:val="18"/>
        </w:rPr>
        <w:t xml:space="preserve">that </w:t>
      </w:r>
      <w:r w:rsidR="00D458FC">
        <w:rPr>
          <w:color w:val="000000"/>
          <w:szCs w:val="18"/>
        </w:rPr>
        <w:t>we likely</w:t>
      </w:r>
      <w:r>
        <w:rPr>
          <w:color w:val="000000"/>
          <w:szCs w:val="18"/>
        </w:rPr>
        <w:t xml:space="preserve"> constrain the plausible range of ∆pH/∆</w:t>
      </w:r>
      <w:r w:rsidRPr="00D20154">
        <w:rPr>
          <w:color w:val="000000"/>
          <w:szCs w:val="18"/>
        </w:rPr>
        <w:t>δ</w:t>
      </w:r>
      <w:r w:rsidRPr="00980136">
        <w:rPr>
          <w:color w:val="000000"/>
          <w:szCs w:val="12"/>
          <w:vertAlign w:val="superscript"/>
        </w:rPr>
        <w:t>1</w:t>
      </w:r>
      <w:r>
        <w:rPr>
          <w:color w:val="000000"/>
          <w:szCs w:val="12"/>
          <w:vertAlign w:val="superscript"/>
        </w:rPr>
        <w:t>3</w:t>
      </w:r>
      <w:r>
        <w:rPr>
          <w:color w:val="000000"/>
          <w:szCs w:val="18"/>
        </w:rPr>
        <w:t>C for at least the Neogene, if not the entire Cenozoic, outside of extreme events such as the Palaeocene-Eocene Thermal Maximum.</w:t>
      </w:r>
    </w:p>
    <w:p w14:paraId="53787DBB" w14:textId="30DE73E6" w:rsidR="00396CB6" w:rsidRPr="00E37466" w:rsidRDefault="00396CB6" w:rsidP="007C3C58">
      <w:pPr>
        <w:rPr>
          <w:color w:val="000000"/>
          <w:szCs w:val="18"/>
          <w:lang w:val="en-US"/>
        </w:rPr>
      </w:pPr>
    </w:p>
    <w:p w14:paraId="048194FF" w14:textId="6111123F" w:rsidR="00961950" w:rsidRDefault="00961950" w:rsidP="00FA27A7">
      <w:pPr>
        <w:pStyle w:val="Heading3"/>
        <w:numPr>
          <w:ilvl w:val="1"/>
          <w:numId w:val="29"/>
        </w:numPr>
        <w:rPr>
          <w:rStyle w:val="st"/>
          <w:rFonts w:cs="Times New Roman"/>
        </w:rPr>
      </w:pPr>
      <w:r w:rsidRPr="00140F06">
        <w:rPr>
          <w:rStyle w:val="st"/>
          <w:rFonts w:ascii="Times New Roman" w:hAnsi="Times New Roman" w:cs="Times New Roman"/>
        </w:rPr>
        <w:t>δ</w:t>
      </w:r>
      <w:r w:rsidRPr="00140F06">
        <w:rPr>
          <w:rStyle w:val="st"/>
          <w:rFonts w:cs="Times New Roman"/>
          <w:vertAlign w:val="superscript"/>
        </w:rPr>
        <w:t>11</w:t>
      </w:r>
      <w:r w:rsidRPr="00140F06">
        <w:rPr>
          <w:rStyle w:val="st"/>
          <w:rFonts w:cs="Times New Roman"/>
        </w:rPr>
        <w:t>B</w:t>
      </w:r>
      <w:r w:rsidRPr="00140F06">
        <w:rPr>
          <w:rStyle w:val="st"/>
          <w:rFonts w:cs="Times New Roman"/>
          <w:vertAlign w:val="subscript"/>
        </w:rPr>
        <w:t>sw</w:t>
      </w:r>
      <w:r>
        <w:rPr>
          <w:rStyle w:val="st"/>
          <w:rFonts w:cs="Times New Roman"/>
        </w:rPr>
        <w:t xml:space="preserve"> record through</w:t>
      </w:r>
      <w:r w:rsidRPr="00140F06">
        <w:rPr>
          <w:rStyle w:val="st"/>
          <w:rFonts w:cs="Times New Roman"/>
        </w:rPr>
        <w:t xml:space="preserve"> the Neogene</w:t>
      </w:r>
      <w:bookmarkEnd w:id="11"/>
    </w:p>
    <w:p w14:paraId="0285FBF8" w14:textId="678669F2" w:rsidR="004E58F1" w:rsidRDefault="00EC5018" w:rsidP="001F49DA">
      <w:pPr>
        <w:rPr>
          <w:rStyle w:val="st"/>
        </w:rPr>
      </w:pPr>
      <w:r>
        <w:rPr>
          <w:lang w:val="en-US"/>
        </w:rPr>
        <w:t xml:space="preserve">Using input parameter uncertainties as described in section 2.5 </w:t>
      </w:r>
      <w:r>
        <w:rPr>
          <w:color w:val="000000"/>
          <w:szCs w:val="18"/>
          <w:lang w:val="en-US"/>
        </w:rPr>
        <w:t>yields</w:t>
      </w:r>
      <w:r>
        <w:rPr>
          <w:lang w:val="en-US"/>
        </w:rPr>
        <w:t xml:space="preserve"> individual Monte Carlo member </w:t>
      </w:r>
      <w:r w:rsidRPr="00B811DF">
        <w:rPr>
          <w:lang w:val="en-US"/>
        </w:rPr>
        <w:t>δ</w:t>
      </w:r>
      <w:r w:rsidRPr="00B811DF">
        <w:rPr>
          <w:vertAlign w:val="superscript"/>
          <w:lang w:val="en-US"/>
        </w:rPr>
        <w:t>11</w:t>
      </w:r>
      <w:r w:rsidRPr="00B811DF">
        <w:rPr>
          <w:lang w:val="en-US"/>
        </w:rPr>
        <w:t>B</w:t>
      </w:r>
      <w:r w:rsidRPr="00B811DF">
        <w:rPr>
          <w:vertAlign w:val="subscript"/>
          <w:lang w:val="en-US"/>
        </w:rPr>
        <w:t>sw</w:t>
      </w:r>
      <w:r>
        <w:rPr>
          <w:lang w:val="en-US"/>
        </w:rPr>
        <w:t xml:space="preserve"> estimates between 30 </w:t>
      </w:r>
      <w:r>
        <w:rPr>
          <w:rStyle w:val="st"/>
        </w:rPr>
        <w:t xml:space="preserve">‰ </w:t>
      </w:r>
      <w:r>
        <w:rPr>
          <w:lang w:val="en-US"/>
        </w:rPr>
        <w:t xml:space="preserve">and 43.5 </w:t>
      </w:r>
      <w:r>
        <w:rPr>
          <w:rStyle w:val="st"/>
        </w:rPr>
        <w:t xml:space="preserve">‰ at the overall extreme points and typically ranging by ~10 ‰ (dashed in Fig. 10a) for each time point, suggesting that the uncertainties we assign to the various input parameters are generous enough not to predetermine the quantitative outcomes. However, for each planktic/benthic time point most individual Monte Carlo </w:t>
      </w:r>
      <w:r w:rsidRPr="00B811DF">
        <w:rPr>
          <w:lang w:val="en-US"/>
        </w:rPr>
        <w:t>δ</w:t>
      </w:r>
      <w:r w:rsidRPr="00B811DF">
        <w:rPr>
          <w:vertAlign w:val="superscript"/>
          <w:lang w:val="en-US"/>
        </w:rPr>
        <w:t>11</w:t>
      </w:r>
      <w:r w:rsidRPr="00B811DF">
        <w:rPr>
          <w:lang w:val="en-US"/>
        </w:rPr>
        <w:t>B</w:t>
      </w:r>
      <w:r w:rsidRPr="00B811DF">
        <w:rPr>
          <w:vertAlign w:val="subscript"/>
          <w:lang w:val="en-US"/>
        </w:rPr>
        <w:t>sw</w:t>
      </w:r>
      <w:r>
        <w:rPr>
          <w:lang w:val="en-US"/>
        </w:rPr>
        <w:t xml:space="preserve"> estimates fall into </w:t>
      </w:r>
      <w:r w:rsidR="00C8325F">
        <w:rPr>
          <w:lang w:val="en-US"/>
        </w:rPr>
        <w:t xml:space="preserve">a </w:t>
      </w:r>
      <w:r>
        <w:rPr>
          <w:lang w:val="en-US"/>
        </w:rPr>
        <w:t xml:space="preserve">much narrower </w:t>
      </w:r>
      <w:r w:rsidR="00C8325F">
        <w:rPr>
          <w:lang w:val="en-US"/>
        </w:rPr>
        <w:t>central range</w:t>
      </w:r>
      <w:r>
        <w:rPr>
          <w:lang w:val="en-US"/>
        </w:rPr>
        <w:t xml:space="preserve"> (~1 </w:t>
      </w:r>
      <w:r>
        <w:rPr>
          <w:rStyle w:val="st"/>
        </w:rPr>
        <w:t>‰</w:t>
      </w:r>
      <w:r>
        <w:rPr>
          <w:lang w:val="en-US"/>
        </w:rPr>
        <w:t xml:space="preserve"> to 4 </w:t>
      </w:r>
      <w:r>
        <w:rPr>
          <w:rStyle w:val="st"/>
        </w:rPr>
        <w:t>‰; thick black line showing interquartile range in Fig. 10a</w:t>
      </w:r>
      <w:r w:rsidR="00C8325F">
        <w:rPr>
          <w:lang w:val="en-US"/>
        </w:rPr>
        <w:t>)</w:t>
      </w:r>
      <w:r w:rsidR="00392273">
        <w:rPr>
          <w:lang w:val="en-US"/>
        </w:rPr>
        <w:t>. The</w:t>
      </w:r>
      <w:r w:rsidR="00151DB5">
        <w:rPr>
          <w:lang w:val="en-US"/>
        </w:rPr>
        <w:t xml:space="preserve"> </w:t>
      </w:r>
      <w:r w:rsidRPr="00B811DF">
        <w:rPr>
          <w:lang w:val="en-US"/>
        </w:rPr>
        <w:t>δ</w:t>
      </w:r>
      <w:r w:rsidRPr="00B811DF">
        <w:rPr>
          <w:vertAlign w:val="superscript"/>
          <w:lang w:val="en-US"/>
        </w:rPr>
        <w:t>11</w:t>
      </w:r>
      <w:r w:rsidRPr="00B811DF">
        <w:rPr>
          <w:lang w:val="en-US"/>
        </w:rPr>
        <w:t>B</w:t>
      </w:r>
      <w:r w:rsidRPr="00B811DF">
        <w:rPr>
          <w:vertAlign w:val="subscript"/>
          <w:lang w:val="en-US"/>
        </w:rPr>
        <w:t>sw</w:t>
      </w:r>
      <w:r>
        <w:rPr>
          <w:lang w:val="en-US"/>
        </w:rPr>
        <w:t xml:space="preserve"> for Plio-Pleistocene time-points cluster around ~40 </w:t>
      </w:r>
      <w:r>
        <w:rPr>
          <w:rStyle w:val="st"/>
        </w:rPr>
        <w:t xml:space="preserve">‰ while middle/late Miocene values cluster around ~36.5 ‰. The estimates at individual time points are completely independent from each other, such that the observed clustering is strong evidence for an underlying long-term signal in </w:t>
      </w:r>
      <w:r w:rsidRPr="00811286">
        <w:rPr>
          <w:rStyle w:val="st"/>
        </w:rPr>
        <w:t>our data</w:t>
      </w:r>
      <w:r w:rsidR="00C8325F">
        <w:rPr>
          <w:rStyle w:val="st"/>
        </w:rPr>
        <w:t xml:space="preserve">, albeit one that is obscured by the uncertainties involved in our individual </w:t>
      </w:r>
      <w:r w:rsidR="00C8325F" w:rsidRPr="00B811DF">
        <w:rPr>
          <w:lang w:val="en-US"/>
        </w:rPr>
        <w:t>δ</w:t>
      </w:r>
      <w:r w:rsidR="00C8325F" w:rsidRPr="00B811DF">
        <w:rPr>
          <w:vertAlign w:val="superscript"/>
          <w:lang w:val="en-US"/>
        </w:rPr>
        <w:t>11</w:t>
      </w:r>
      <w:r w:rsidR="00C8325F" w:rsidRPr="00B811DF">
        <w:rPr>
          <w:lang w:val="en-US"/>
        </w:rPr>
        <w:t>B</w:t>
      </w:r>
      <w:r w:rsidR="00C8325F" w:rsidRPr="00B811DF">
        <w:rPr>
          <w:vertAlign w:val="subscript"/>
          <w:lang w:val="en-US"/>
        </w:rPr>
        <w:t>sw</w:t>
      </w:r>
      <w:r w:rsidR="00C8325F">
        <w:rPr>
          <w:rStyle w:val="st"/>
        </w:rPr>
        <w:t xml:space="preserve"> estimates</w:t>
      </w:r>
      <w:r w:rsidRPr="00811286">
        <w:rPr>
          <w:rStyle w:val="st"/>
        </w:rPr>
        <w:t xml:space="preserve">. The same long-term signal is also evident when pooling the </w:t>
      </w:r>
      <w:r w:rsidRPr="00811286">
        <w:rPr>
          <w:lang w:val="en-US"/>
        </w:rPr>
        <w:t>individual Monte Carlo member δ</w:t>
      </w:r>
      <w:r w:rsidRPr="00811286">
        <w:rPr>
          <w:vertAlign w:val="superscript"/>
          <w:lang w:val="en-US"/>
        </w:rPr>
        <w:t>11</w:t>
      </w:r>
      <w:r w:rsidRPr="00811286">
        <w:rPr>
          <w:lang w:val="en-US"/>
        </w:rPr>
        <w:t>B</w:t>
      </w:r>
      <w:r w:rsidRPr="00811286">
        <w:rPr>
          <w:vertAlign w:val="subscript"/>
          <w:lang w:val="en-US"/>
        </w:rPr>
        <w:t>sw</w:t>
      </w:r>
      <w:r w:rsidRPr="00811286">
        <w:rPr>
          <w:lang w:val="en-US"/>
        </w:rPr>
        <w:t xml:space="preserve"> estimates into 8 million year bins </w:t>
      </w:r>
      <w:r w:rsidRPr="00811286">
        <w:rPr>
          <w:rFonts w:eastAsiaTheme="minorEastAsia" w:cs="Helvetica"/>
          <w:lang w:val="en-US" w:eastAsia="ja-JP"/>
        </w:rPr>
        <w:t>and evaluating the mean and spread (2</w:t>
      </w:r>
      <w:r w:rsidRPr="00811286">
        <w:sym w:font="Symbol" w:char="F073"/>
      </w:r>
      <w:r w:rsidRPr="00811286">
        <w:rPr>
          <w:rFonts w:eastAsiaTheme="minorEastAsia" w:cs="Helvetica"/>
          <w:lang w:val="en-US" w:eastAsia="ja-JP"/>
        </w:rPr>
        <w:t xml:space="preserve">) </w:t>
      </w:r>
      <w:r w:rsidRPr="00811286">
        <w:rPr>
          <w:rStyle w:val="st"/>
        </w:rPr>
        <w:t>in each</w:t>
      </w:r>
      <w:r w:rsidRPr="00811286">
        <w:rPr>
          <w:rFonts w:eastAsiaTheme="minorEastAsia" w:cs="Helvetica"/>
          <w:lang w:val="en-US" w:eastAsia="ja-JP"/>
        </w:rPr>
        <w:t xml:space="preserve"> bin (Fig. 10b).  This simple treatment highlights that there is a significant difference between our </w:t>
      </w:r>
      <w:r w:rsidR="00811286" w:rsidRPr="00811286">
        <w:rPr>
          <w:rFonts w:eastAsiaTheme="minorEastAsia" w:cs="Helvetica"/>
          <w:lang w:val="en-US" w:eastAsia="ja-JP"/>
        </w:rPr>
        <w:t>Plio-Pleistocene</w:t>
      </w:r>
      <w:r w:rsidRPr="00811286">
        <w:rPr>
          <w:rFonts w:eastAsiaTheme="minorEastAsia" w:cs="Helvetica"/>
          <w:lang w:val="en-US" w:eastAsia="ja-JP"/>
        </w:rPr>
        <w:t xml:space="preserve"> and middle Miocene data bins </w:t>
      </w:r>
      <w:r w:rsidR="00C8325F">
        <w:rPr>
          <w:rFonts w:eastAsiaTheme="minorEastAsia" w:cs="Helvetica"/>
          <w:lang w:val="en-US" w:eastAsia="ja-JP"/>
        </w:rPr>
        <w:t>at the 95% confidence level</w:t>
      </w:r>
      <w:r w:rsidR="00C8325F" w:rsidRPr="00811286">
        <w:rPr>
          <w:rFonts w:eastAsiaTheme="minorEastAsia" w:cs="Helvetica"/>
          <w:lang w:val="en-US" w:eastAsia="ja-JP"/>
        </w:rPr>
        <w:t xml:space="preserve"> </w:t>
      </w:r>
      <w:r w:rsidRPr="00811286">
        <w:rPr>
          <w:rFonts w:eastAsiaTheme="minorEastAsia" w:cs="Helvetica"/>
          <w:lang w:val="en-US" w:eastAsia="ja-JP"/>
        </w:rPr>
        <w:t xml:space="preserve">and that </w:t>
      </w:r>
      <w:r w:rsidRPr="00811286">
        <w:rPr>
          <w:rStyle w:val="st"/>
          <w:rFonts w:ascii="Times New Roman" w:hAnsi="Times New Roman"/>
        </w:rPr>
        <w:t>δ</w:t>
      </w:r>
      <w:r w:rsidRPr="00811286">
        <w:rPr>
          <w:rStyle w:val="st"/>
          <w:vertAlign w:val="superscript"/>
        </w:rPr>
        <w:t>11</w:t>
      </w:r>
      <w:r w:rsidRPr="00811286">
        <w:rPr>
          <w:rStyle w:val="st"/>
        </w:rPr>
        <w:t>B</w:t>
      </w:r>
      <w:r w:rsidRPr="00811286">
        <w:rPr>
          <w:rStyle w:val="st"/>
          <w:vertAlign w:val="subscript"/>
        </w:rPr>
        <w:t>sw</w:t>
      </w:r>
      <w:r w:rsidRPr="0057576D">
        <w:rPr>
          <w:rStyle w:val="st"/>
          <w:vertAlign w:val="subscript"/>
        </w:rPr>
        <w:t xml:space="preserve"> </w:t>
      </w:r>
      <w:r w:rsidR="00811286" w:rsidRPr="0057576D">
        <w:rPr>
          <w:rStyle w:val="st"/>
        </w:rPr>
        <w:t>appears to also h</w:t>
      </w:r>
      <w:r w:rsidR="00D9652E">
        <w:rPr>
          <w:rStyle w:val="st"/>
        </w:rPr>
        <w:t xml:space="preserve">ave been </w:t>
      </w:r>
      <w:r w:rsidR="00811286" w:rsidRPr="00811286">
        <w:rPr>
          <w:rStyle w:val="st"/>
        </w:rPr>
        <w:t xml:space="preserve">significantly </w:t>
      </w:r>
      <w:r w:rsidRPr="00811286">
        <w:rPr>
          <w:rStyle w:val="st"/>
        </w:rPr>
        <w:t>lower than modern during the early Miocene.</w:t>
      </w:r>
      <w:r>
        <w:rPr>
          <w:rStyle w:val="st"/>
        </w:rPr>
        <w:t xml:space="preserve"> </w:t>
      </w:r>
    </w:p>
    <w:p w14:paraId="5F1D0668" w14:textId="2B24C8E3" w:rsidR="004E58F1" w:rsidRPr="00642DE2" w:rsidRDefault="001754FA" w:rsidP="00DF645B">
      <w:pPr>
        <w:pStyle w:val="ListParagraph"/>
        <w:numPr>
          <w:ilvl w:val="2"/>
          <w:numId w:val="29"/>
        </w:numPr>
        <w:spacing w:line="360" w:lineRule="auto"/>
        <w:rPr>
          <w:rStyle w:val="st"/>
          <w:rFonts w:ascii="Times" w:hAnsi="Times"/>
          <w:b/>
        </w:rPr>
      </w:pPr>
      <w:r>
        <w:rPr>
          <w:rStyle w:val="st"/>
          <w:rFonts w:ascii="Times" w:hAnsi="Times"/>
          <w:b/>
        </w:rPr>
        <w:t xml:space="preserve">Data </w:t>
      </w:r>
      <w:r w:rsidR="00642DE2">
        <w:rPr>
          <w:rStyle w:val="st"/>
          <w:rFonts w:ascii="Times" w:hAnsi="Times"/>
          <w:b/>
        </w:rPr>
        <w:t xml:space="preserve">smoothing </w:t>
      </w:r>
    </w:p>
    <w:p w14:paraId="1C1610E1" w14:textId="1CE7C8E3" w:rsidR="00392273" w:rsidRPr="00642DE2" w:rsidRDefault="00392273" w:rsidP="00151DB5">
      <w:pPr>
        <w:widowControl w:val="0"/>
        <w:autoSpaceDE w:val="0"/>
        <w:autoSpaceDN w:val="0"/>
        <w:adjustRightInd w:val="0"/>
        <w:spacing w:after="240"/>
        <w:rPr>
          <w:rStyle w:val="st"/>
        </w:rPr>
      </w:pPr>
      <w:r>
        <w:rPr>
          <w:rStyle w:val="st"/>
        </w:rPr>
        <w:t xml:space="preserve">The ~1 to 4 ‰ likely ranges for </w:t>
      </w:r>
      <w:r w:rsidRPr="00392273">
        <w:rPr>
          <w:lang w:val="en-US"/>
        </w:rPr>
        <w:t>δ</w:t>
      </w:r>
      <w:r w:rsidRPr="00392273">
        <w:rPr>
          <w:vertAlign w:val="superscript"/>
          <w:lang w:val="en-US"/>
        </w:rPr>
        <w:t>11</w:t>
      </w:r>
      <w:r w:rsidRPr="00392273">
        <w:rPr>
          <w:lang w:val="en-US"/>
        </w:rPr>
        <w:t>B</w:t>
      </w:r>
      <w:r w:rsidRPr="00392273">
        <w:rPr>
          <w:vertAlign w:val="subscript"/>
          <w:lang w:val="en-US"/>
        </w:rPr>
        <w:t>sw</w:t>
      </w:r>
      <w:r>
        <w:rPr>
          <w:rStyle w:val="st"/>
        </w:rPr>
        <w:t xml:space="preserve"> would seem to be rather disappointing given the goal to constrain </w:t>
      </w:r>
      <w:r w:rsidRPr="00392273">
        <w:rPr>
          <w:lang w:val="en-US"/>
        </w:rPr>
        <w:t>δ</w:t>
      </w:r>
      <w:r w:rsidRPr="00392273">
        <w:rPr>
          <w:vertAlign w:val="superscript"/>
          <w:lang w:val="en-US"/>
        </w:rPr>
        <w:t>11</w:t>
      </w:r>
      <w:r w:rsidRPr="00392273">
        <w:rPr>
          <w:lang w:val="en-US"/>
        </w:rPr>
        <w:t>B</w:t>
      </w:r>
      <w:r w:rsidRPr="00392273">
        <w:rPr>
          <w:vertAlign w:val="subscript"/>
          <w:lang w:val="en-US"/>
        </w:rPr>
        <w:t>sw</w:t>
      </w:r>
      <w:r>
        <w:rPr>
          <w:rStyle w:val="st"/>
        </w:rPr>
        <w:t xml:space="preserve"> for pH reconstructions. However, most of that uncertainty is stochastic, </w:t>
      </w:r>
      <w:r w:rsidR="00C8325F">
        <w:rPr>
          <w:rStyle w:val="st"/>
        </w:rPr>
        <w:t>random error</w:t>
      </w:r>
      <w:r>
        <w:rPr>
          <w:rStyle w:val="st"/>
        </w:rPr>
        <w:t xml:space="preserve"> that is </w:t>
      </w:r>
      <w:r w:rsidR="00C8325F">
        <w:rPr>
          <w:rStyle w:val="st"/>
        </w:rPr>
        <w:t>uncorrelated</w:t>
      </w:r>
      <w:r>
        <w:rPr>
          <w:rStyle w:val="st"/>
        </w:rPr>
        <w:t xml:space="preserve"> from time point to time point. </w:t>
      </w:r>
      <w:r w:rsidR="0081474B" w:rsidRPr="00D32A1A">
        <w:rPr>
          <w:rStyle w:val="st"/>
        </w:rPr>
        <w:t>Furthermore</w:t>
      </w:r>
      <w:r w:rsidRPr="00D32A1A">
        <w:rPr>
          <w:rStyle w:val="st"/>
        </w:rPr>
        <w:t xml:space="preserve">, we know from mass balance considerations that </w:t>
      </w:r>
      <w:r w:rsidRPr="00D32A1A">
        <w:rPr>
          <w:lang w:val="en-US"/>
        </w:rPr>
        <w:t>δ</w:t>
      </w:r>
      <w:r w:rsidRPr="00D32A1A">
        <w:rPr>
          <w:vertAlign w:val="superscript"/>
          <w:lang w:val="en-US"/>
        </w:rPr>
        <w:t>1</w:t>
      </w:r>
      <w:r w:rsidRPr="00535D4E">
        <w:rPr>
          <w:vertAlign w:val="superscript"/>
          <w:lang w:val="en-US"/>
        </w:rPr>
        <w:t>1</w:t>
      </w:r>
      <w:r w:rsidRPr="00A32BE2">
        <w:rPr>
          <w:lang w:val="en-US"/>
        </w:rPr>
        <w:t>B</w:t>
      </w:r>
      <w:r w:rsidRPr="00A32BE2">
        <w:rPr>
          <w:vertAlign w:val="subscript"/>
          <w:lang w:val="en-US"/>
        </w:rPr>
        <w:t>sw</w:t>
      </w:r>
      <w:r w:rsidRPr="00A32BE2">
        <w:rPr>
          <w:rStyle w:val="st"/>
        </w:rPr>
        <w:t xml:space="preserve"> of seawater should </w:t>
      </w:r>
      <w:r w:rsidR="003B4216" w:rsidRPr="00A32BE2">
        <w:rPr>
          <w:rStyle w:val="st"/>
        </w:rPr>
        <w:t xml:space="preserve">not </w:t>
      </w:r>
      <w:r w:rsidRPr="00A32BE2">
        <w:rPr>
          <w:rStyle w:val="st"/>
        </w:rPr>
        <w:t xml:space="preserve">change by more than </w:t>
      </w:r>
      <w:r w:rsidR="00151DB5" w:rsidRPr="00A32BE2">
        <w:rPr>
          <w:rFonts w:eastAsiaTheme="minorEastAsia" w:cs="Arial"/>
          <w:color w:val="1A1A1A"/>
          <w:lang w:val="en-US" w:eastAsia="ja-JP"/>
        </w:rPr>
        <w:t>~</w:t>
      </w:r>
      <w:r w:rsidRPr="00A32BE2">
        <w:rPr>
          <w:rStyle w:val="st"/>
        </w:rPr>
        <w:t>0.1 ‰ per million years (Lemarchand et al., 2000)</w:t>
      </w:r>
      <w:r w:rsidR="00D32A1A" w:rsidRPr="00A32BE2">
        <w:rPr>
          <w:rStyle w:val="st"/>
        </w:rPr>
        <w:t xml:space="preserve">, </w:t>
      </w:r>
      <w:r w:rsidR="007526A1">
        <w:rPr>
          <w:rStyle w:val="st"/>
        </w:rPr>
        <w:t>because</w:t>
      </w:r>
      <w:r w:rsidR="00D32A1A" w:rsidRPr="00D32A1A">
        <w:rPr>
          <w:rStyle w:val="st"/>
        </w:rPr>
        <w:t xml:space="preserve"> of </w:t>
      </w:r>
      <w:r w:rsidR="00D32A1A" w:rsidRPr="00EE67F0">
        <w:rPr>
          <w:rFonts w:ascii="Times New Roman" w:hAnsi="Times New Roman"/>
        </w:rPr>
        <w:t>the size of the oceanic boron reservoir compared the inputs and outputs (see Fig. 1),</w:t>
      </w:r>
      <w:r w:rsidR="00D32A1A" w:rsidRPr="00D32A1A">
        <w:rPr>
          <w:rFonts w:ascii="Times New Roman" w:hAnsi="Times New Roman"/>
          <w:color w:val="0000FF"/>
        </w:rPr>
        <w:t xml:space="preserve"> </w:t>
      </w:r>
      <w:r w:rsidR="0081474B" w:rsidRPr="00D32A1A">
        <w:rPr>
          <w:rStyle w:val="st"/>
        </w:rPr>
        <w:t>and we use this</w:t>
      </w:r>
      <w:r w:rsidRPr="00D32A1A">
        <w:rPr>
          <w:rStyle w:val="st"/>
        </w:rPr>
        <w:t xml:space="preserve"> </w:t>
      </w:r>
      <w:r w:rsidR="0081474B" w:rsidRPr="00D32A1A">
        <w:rPr>
          <w:rStyle w:val="st"/>
        </w:rPr>
        <w:t xml:space="preserve">as an </w:t>
      </w:r>
      <w:r w:rsidRPr="00D32A1A">
        <w:rPr>
          <w:rStyle w:val="st"/>
        </w:rPr>
        <w:t>additional constraint</w:t>
      </w:r>
      <w:r w:rsidR="00C8325F" w:rsidRPr="00535D4E">
        <w:rPr>
          <w:rStyle w:val="st"/>
        </w:rPr>
        <w:t xml:space="preserve"> via the LOW</w:t>
      </w:r>
      <w:r w:rsidR="00C8325F" w:rsidRPr="00A32BE2">
        <w:rPr>
          <w:rStyle w:val="st"/>
        </w:rPr>
        <w:t>ESS smoothing we apply</w:t>
      </w:r>
      <w:r w:rsidR="00C8325F">
        <w:rPr>
          <w:rStyle w:val="st"/>
        </w:rPr>
        <w:t xml:space="preserve"> to each Monte Carlo time series</w:t>
      </w:r>
      <w:r>
        <w:rPr>
          <w:rStyle w:val="st"/>
        </w:rPr>
        <w:t xml:space="preserve">. One consideration is that every individual Monte Carlo </w:t>
      </w:r>
      <w:r w:rsidRPr="00392273">
        <w:rPr>
          <w:lang w:val="en-US"/>
        </w:rPr>
        <w:t>δ</w:t>
      </w:r>
      <w:r w:rsidRPr="00392273">
        <w:rPr>
          <w:vertAlign w:val="superscript"/>
          <w:lang w:val="en-US"/>
        </w:rPr>
        <w:t>11</w:t>
      </w:r>
      <w:r w:rsidRPr="00392273">
        <w:rPr>
          <w:lang w:val="en-US"/>
        </w:rPr>
        <w:t>B</w:t>
      </w:r>
      <w:r w:rsidRPr="00392273">
        <w:rPr>
          <w:vertAlign w:val="subscript"/>
          <w:lang w:val="en-US"/>
        </w:rPr>
        <w:t>sw</w:t>
      </w:r>
      <w:r>
        <w:rPr>
          <w:rStyle w:val="st"/>
        </w:rPr>
        <w:t xml:space="preserve"> estimate is equally likely and the smoothing should therefor</w:t>
      </w:r>
      <w:r w:rsidR="00151DB5">
        <w:rPr>
          <w:rStyle w:val="st"/>
        </w:rPr>
        <w:t>e</w:t>
      </w:r>
      <w:r w:rsidR="000D2DF1">
        <w:rPr>
          <w:rStyle w:val="st"/>
        </w:rPr>
        <w:t xml:space="preserve"> target randomly selected </w:t>
      </w:r>
      <w:r>
        <w:rPr>
          <w:rStyle w:val="st"/>
        </w:rPr>
        <w:t xml:space="preserve">individual Monte Carlo </w:t>
      </w:r>
      <w:r w:rsidRPr="00392273">
        <w:rPr>
          <w:lang w:val="en-US"/>
        </w:rPr>
        <w:t>δ</w:t>
      </w:r>
      <w:r w:rsidRPr="00392273">
        <w:rPr>
          <w:vertAlign w:val="superscript"/>
          <w:lang w:val="en-US"/>
        </w:rPr>
        <w:t>11</w:t>
      </w:r>
      <w:r w:rsidRPr="00392273">
        <w:rPr>
          <w:lang w:val="en-US"/>
        </w:rPr>
        <w:t>B</w:t>
      </w:r>
      <w:r w:rsidRPr="00392273">
        <w:rPr>
          <w:vertAlign w:val="subscript"/>
          <w:lang w:val="en-US"/>
        </w:rPr>
        <w:t>sw</w:t>
      </w:r>
      <w:r>
        <w:rPr>
          <w:rStyle w:val="st"/>
        </w:rPr>
        <w:t xml:space="preserve"> estimates, as we do here, rather than smoothing over the likely ranges identified for each time point. In this way the smoothing becomes integral part of our Monte Carlo uncertainty propagation and the spread among the 10,000 individual smoothed </w:t>
      </w:r>
      <w:r w:rsidRPr="00392273">
        <w:rPr>
          <w:lang w:val="en-US"/>
        </w:rPr>
        <w:t>δ</w:t>
      </w:r>
      <w:r w:rsidRPr="00392273">
        <w:rPr>
          <w:vertAlign w:val="superscript"/>
          <w:lang w:val="en-US"/>
        </w:rPr>
        <w:t>11</w:t>
      </w:r>
      <w:r w:rsidRPr="00392273">
        <w:rPr>
          <w:lang w:val="en-US"/>
        </w:rPr>
        <w:t>B</w:t>
      </w:r>
      <w:r w:rsidRPr="00151DB5">
        <w:rPr>
          <w:vertAlign w:val="subscript"/>
          <w:lang w:val="en-US"/>
        </w:rPr>
        <w:t>sw</w:t>
      </w:r>
      <w:r>
        <w:rPr>
          <w:rStyle w:val="st"/>
        </w:rPr>
        <w:t xml:space="preserve"> curves carries the full representation of propagated input uncertainty conditional on the boron cycle mass balance constraint. A second consideration is that the smoothing should only remove noise, not underlying signal. </w:t>
      </w:r>
      <w:r w:rsidR="00C8325F">
        <w:rPr>
          <w:rStyle w:val="st"/>
        </w:rPr>
        <w:t>As detailed above, f</w:t>
      </w:r>
      <w:r>
        <w:rPr>
          <w:rStyle w:val="st"/>
        </w:rPr>
        <w:t xml:space="preserve">or this reason </w:t>
      </w:r>
      <w:r w:rsidR="00B16A54">
        <w:rPr>
          <w:rStyle w:val="st"/>
        </w:rPr>
        <w:t>the smoothing parameter we</w:t>
      </w:r>
      <w:r>
        <w:rPr>
          <w:rStyle w:val="st"/>
        </w:rPr>
        <w:t xml:space="preserve"> choose</w:t>
      </w:r>
      <w:r w:rsidR="00B16A54">
        <w:rPr>
          <w:rStyle w:val="st"/>
        </w:rPr>
        <w:t xml:space="preserve"> has enough freedom to allow the </w:t>
      </w:r>
      <w:r w:rsidR="00B16A54" w:rsidRPr="00392273">
        <w:rPr>
          <w:lang w:val="en-US"/>
        </w:rPr>
        <w:t>δ</w:t>
      </w:r>
      <w:r w:rsidR="00B16A54" w:rsidRPr="00392273">
        <w:rPr>
          <w:vertAlign w:val="superscript"/>
          <w:lang w:val="en-US"/>
        </w:rPr>
        <w:t>11</w:t>
      </w:r>
      <w:r w:rsidR="00B16A54" w:rsidRPr="00151DB5">
        <w:rPr>
          <w:lang w:val="en-US"/>
        </w:rPr>
        <w:t>B</w:t>
      </w:r>
      <w:r w:rsidR="00B16A54" w:rsidRPr="00151DB5">
        <w:rPr>
          <w:vertAlign w:val="subscript"/>
          <w:lang w:val="en-US"/>
        </w:rPr>
        <w:t>sw</w:t>
      </w:r>
      <w:r w:rsidR="00B16A54">
        <w:rPr>
          <w:lang w:val="en-US"/>
        </w:rPr>
        <w:t xml:space="preserve"> change to be dictated by the data, with only the most extreme shifts in </w:t>
      </w:r>
      <w:r w:rsidR="00B16A54" w:rsidRPr="00392273">
        <w:rPr>
          <w:lang w:val="en-US"/>
        </w:rPr>
        <w:t>δ</w:t>
      </w:r>
      <w:r w:rsidR="00B16A54" w:rsidRPr="00392273">
        <w:rPr>
          <w:vertAlign w:val="superscript"/>
          <w:lang w:val="en-US"/>
        </w:rPr>
        <w:t>11</w:t>
      </w:r>
      <w:r w:rsidR="00B16A54" w:rsidRPr="00151DB5">
        <w:rPr>
          <w:lang w:val="en-US"/>
        </w:rPr>
        <w:t>B</w:t>
      </w:r>
      <w:r w:rsidR="00B16A54" w:rsidRPr="00151DB5">
        <w:rPr>
          <w:vertAlign w:val="subscript"/>
          <w:lang w:val="en-US"/>
        </w:rPr>
        <w:t>sw</w:t>
      </w:r>
      <w:r w:rsidR="00B16A54">
        <w:rPr>
          <w:lang w:val="en-US"/>
        </w:rPr>
        <w:t xml:space="preserve"> removed. </w:t>
      </w:r>
      <w:r>
        <w:rPr>
          <w:rStyle w:val="st"/>
        </w:rPr>
        <w:t xml:space="preserve">We also tested the robustness of the smoothing procedure itself (not shown) and found only marginal changes when changing algorithm (LOESS versus LOWESS, with and without robust option) or when reducing the amount of smoothing (i.e., increasing the allowed rate </w:t>
      </w:r>
      <w:r w:rsidRPr="00392273">
        <w:rPr>
          <w:lang w:val="en-US"/>
        </w:rPr>
        <w:t>δ</w:t>
      </w:r>
      <w:r w:rsidRPr="00392273">
        <w:rPr>
          <w:vertAlign w:val="superscript"/>
          <w:lang w:val="en-US"/>
        </w:rPr>
        <w:t>11</w:t>
      </w:r>
      <w:r w:rsidRPr="00392273">
        <w:rPr>
          <w:lang w:val="en-US"/>
        </w:rPr>
        <w:t>B</w:t>
      </w:r>
      <w:r w:rsidRPr="00151DB5">
        <w:rPr>
          <w:vertAlign w:val="subscript"/>
          <w:lang w:val="en-US"/>
        </w:rPr>
        <w:t>sw</w:t>
      </w:r>
      <w:r>
        <w:rPr>
          <w:rStyle w:val="st"/>
        </w:rPr>
        <w:t xml:space="preserve"> change). The robustness of our smoothing is further underscored by the good correspondence with the results of simple data binning (Fig.10b). </w:t>
      </w:r>
    </w:p>
    <w:p w14:paraId="14C989FF" w14:textId="07FCE136" w:rsidR="00642DE2" w:rsidRPr="00642DE2" w:rsidRDefault="00642DE2" w:rsidP="00642DE2">
      <w:pPr>
        <w:rPr>
          <w:rStyle w:val="st"/>
        </w:rPr>
      </w:pPr>
    </w:p>
    <w:p w14:paraId="4890DF14" w14:textId="350FE991" w:rsidR="00961950" w:rsidRDefault="00961950" w:rsidP="00FA27A7">
      <w:pPr>
        <w:pStyle w:val="Heading3"/>
        <w:numPr>
          <w:ilvl w:val="1"/>
          <w:numId w:val="29"/>
        </w:numPr>
        <w:rPr>
          <w:rStyle w:val="st"/>
          <w:rFonts w:cs="Times New Roman"/>
        </w:rPr>
      </w:pPr>
      <w:bookmarkStart w:id="12" w:name="_Toc287775657"/>
      <w:r w:rsidRPr="00140F06">
        <w:rPr>
          <w:rStyle w:val="st"/>
          <w:rFonts w:cs="Times New Roman"/>
        </w:rPr>
        <w:t xml:space="preserve">Comparison to other </w:t>
      </w:r>
      <w:r w:rsidRPr="00140F06">
        <w:rPr>
          <w:rStyle w:val="st"/>
          <w:rFonts w:ascii="Times New Roman" w:hAnsi="Times New Roman" w:cs="Times New Roman"/>
        </w:rPr>
        <w:t>δ</w:t>
      </w:r>
      <w:r w:rsidRPr="00140F06">
        <w:rPr>
          <w:rStyle w:val="st"/>
          <w:rFonts w:cs="Times New Roman"/>
          <w:vertAlign w:val="superscript"/>
        </w:rPr>
        <w:t>11</w:t>
      </w:r>
      <w:r w:rsidRPr="00140F06">
        <w:rPr>
          <w:rStyle w:val="st"/>
          <w:rFonts w:cs="Times New Roman"/>
        </w:rPr>
        <w:t>B</w:t>
      </w:r>
      <w:r w:rsidRPr="00140F06">
        <w:rPr>
          <w:rStyle w:val="st"/>
          <w:rFonts w:cs="Times New Roman"/>
          <w:vertAlign w:val="subscript"/>
        </w:rPr>
        <w:t>sw</w:t>
      </w:r>
      <w:r w:rsidRPr="00140F06">
        <w:rPr>
          <w:rStyle w:val="st"/>
          <w:rFonts w:cs="Times New Roman"/>
        </w:rPr>
        <w:t xml:space="preserve"> records</w:t>
      </w:r>
      <w:bookmarkEnd w:id="12"/>
    </w:p>
    <w:p w14:paraId="2E58FDC4" w14:textId="10BD152C" w:rsidR="00044441" w:rsidRDefault="0085374C" w:rsidP="00706DA1">
      <w:pPr>
        <w:rPr>
          <w:rStyle w:val="st"/>
        </w:rPr>
      </w:pPr>
      <w:r>
        <w:rPr>
          <w:rStyle w:val="st"/>
        </w:rPr>
        <w:t>The comparison of our new</w:t>
      </w:r>
      <w:r w:rsidR="006C3659">
        <w:rPr>
          <w:rStyle w:val="st"/>
        </w:rPr>
        <w:t xml:space="preserve"> </w:t>
      </w:r>
      <w:r w:rsidR="006C3659" w:rsidRPr="00460532">
        <w:rPr>
          <w:rStyle w:val="st"/>
          <w:rFonts w:ascii="Times New Roman" w:hAnsi="Times New Roman"/>
        </w:rPr>
        <w:t>δ</w:t>
      </w:r>
      <w:r w:rsidR="006C3659" w:rsidRPr="00460532">
        <w:rPr>
          <w:rStyle w:val="st"/>
          <w:vertAlign w:val="superscript"/>
        </w:rPr>
        <w:t>11</w:t>
      </w:r>
      <w:r w:rsidR="006C3659" w:rsidRPr="00460532">
        <w:rPr>
          <w:rStyle w:val="st"/>
        </w:rPr>
        <w:t>B</w:t>
      </w:r>
      <w:r w:rsidR="006C3659" w:rsidRPr="00460532">
        <w:rPr>
          <w:rStyle w:val="st"/>
          <w:vertAlign w:val="subscript"/>
        </w:rPr>
        <w:t>sw</w:t>
      </w:r>
      <w:r w:rsidR="006C3659">
        <w:rPr>
          <w:rStyle w:val="st"/>
        </w:rPr>
        <w:t xml:space="preserve"> record to those previously published reveals</w:t>
      </w:r>
      <w:r w:rsidR="00044441">
        <w:rPr>
          <w:rStyle w:val="st"/>
        </w:rPr>
        <w:t xml:space="preserve"> that despite the differences in methodology the general trends in the records show excellent agreement. The most dominant</w:t>
      </w:r>
      <w:r w:rsidR="006C3659">
        <w:rPr>
          <w:rStyle w:val="st"/>
        </w:rPr>
        <w:t xml:space="preserve"> common feature of all the existing </w:t>
      </w:r>
      <w:r w:rsidR="00961950">
        <w:rPr>
          <w:rStyle w:val="st"/>
        </w:rPr>
        <w:t xml:space="preserve">estimates of Neogene </w:t>
      </w:r>
      <w:r w:rsidR="00961950" w:rsidRPr="00A7039F">
        <w:rPr>
          <w:rStyle w:val="st"/>
          <w:rFonts w:ascii="Times New Roman" w:hAnsi="Times New Roman"/>
        </w:rPr>
        <w:t>δ</w:t>
      </w:r>
      <w:r w:rsidR="00961950" w:rsidRPr="00A7039F">
        <w:rPr>
          <w:rStyle w:val="st"/>
          <w:vertAlign w:val="superscript"/>
        </w:rPr>
        <w:t>11</w:t>
      </w:r>
      <w:r w:rsidR="00961950" w:rsidRPr="00A7039F">
        <w:rPr>
          <w:rStyle w:val="st"/>
        </w:rPr>
        <w:t>B</w:t>
      </w:r>
      <w:r w:rsidR="00961950" w:rsidRPr="00A7039F">
        <w:rPr>
          <w:rStyle w:val="st"/>
          <w:vertAlign w:val="subscript"/>
        </w:rPr>
        <w:t>sw</w:t>
      </w:r>
      <w:r w:rsidR="00961950">
        <w:rPr>
          <w:rStyle w:val="st"/>
        </w:rPr>
        <w:t xml:space="preserve"> evolution is an increase through time </w:t>
      </w:r>
      <w:r w:rsidR="00A26BE4">
        <w:rPr>
          <w:rStyle w:val="st"/>
        </w:rPr>
        <w:t>from</w:t>
      </w:r>
      <w:r w:rsidR="00961950">
        <w:rPr>
          <w:rStyle w:val="st"/>
        </w:rPr>
        <w:t xml:space="preserve"> the mi</w:t>
      </w:r>
      <w:r w:rsidR="00677748">
        <w:rPr>
          <w:rStyle w:val="st"/>
        </w:rPr>
        <w:t xml:space="preserve">ddle Miocene </w:t>
      </w:r>
      <w:r w:rsidR="00A26BE4">
        <w:rPr>
          <w:rStyle w:val="st"/>
        </w:rPr>
        <w:t>to</w:t>
      </w:r>
      <w:r w:rsidR="00677748">
        <w:rPr>
          <w:rStyle w:val="st"/>
        </w:rPr>
        <w:t xml:space="preserve"> </w:t>
      </w:r>
      <w:r w:rsidR="00044441">
        <w:rPr>
          <w:rStyle w:val="st"/>
        </w:rPr>
        <w:t xml:space="preserve">the Plio-Pleistocene </w:t>
      </w:r>
      <w:r w:rsidR="00677748">
        <w:rPr>
          <w:rStyle w:val="st"/>
        </w:rPr>
        <w:t>(Fig</w:t>
      </w:r>
      <w:r w:rsidR="00AD294A">
        <w:rPr>
          <w:rStyle w:val="st"/>
        </w:rPr>
        <w:t>.</w:t>
      </w:r>
      <w:r w:rsidR="00677748">
        <w:rPr>
          <w:rStyle w:val="st"/>
        </w:rPr>
        <w:t xml:space="preserve"> </w:t>
      </w:r>
      <w:r w:rsidR="00AD294A">
        <w:rPr>
          <w:rStyle w:val="st"/>
        </w:rPr>
        <w:t>1</w:t>
      </w:r>
      <w:r w:rsidR="00876B1F">
        <w:rPr>
          <w:rStyle w:val="st"/>
        </w:rPr>
        <w:t>1</w:t>
      </w:r>
      <w:r w:rsidR="00961950">
        <w:rPr>
          <w:rStyle w:val="st"/>
        </w:rPr>
        <w:t xml:space="preserve">). </w:t>
      </w:r>
      <w:r w:rsidR="00044441">
        <w:rPr>
          <w:rStyle w:val="st"/>
        </w:rPr>
        <w:t xml:space="preserve">While the model-based </w:t>
      </w:r>
      <w:r w:rsidR="00044441" w:rsidRPr="00A7039F">
        <w:rPr>
          <w:rStyle w:val="st"/>
          <w:rFonts w:ascii="Times New Roman" w:hAnsi="Times New Roman"/>
        </w:rPr>
        <w:t>δ</w:t>
      </w:r>
      <w:r w:rsidR="00044441" w:rsidRPr="00A7039F">
        <w:rPr>
          <w:rStyle w:val="st"/>
          <w:vertAlign w:val="superscript"/>
        </w:rPr>
        <w:t>11</w:t>
      </w:r>
      <w:r w:rsidR="00044441" w:rsidRPr="00A7039F">
        <w:rPr>
          <w:rStyle w:val="st"/>
        </w:rPr>
        <w:t>B</w:t>
      </w:r>
      <w:r w:rsidR="00044441" w:rsidRPr="00A7039F">
        <w:rPr>
          <w:rStyle w:val="st"/>
          <w:vertAlign w:val="subscript"/>
        </w:rPr>
        <w:t>sw</w:t>
      </w:r>
      <w:r w:rsidR="00044441">
        <w:rPr>
          <w:rStyle w:val="st"/>
        </w:rPr>
        <w:t xml:space="preserve"> record of Lemarc</w:t>
      </w:r>
      <w:r w:rsidR="0094758B">
        <w:rPr>
          <w:rStyle w:val="st"/>
        </w:rPr>
        <w:t>hand et al. (2000</w:t>
      </w:r>
      <w:r w:rsidR="00044441">
        <w:rPr>
          <w:rStyle w:val="st"/>
        </w:rPr>
        <w:t xml:space="preserve">) is defined by a monotonous and very steady rise over the entire study interval, all three measurement-based records, including our own, are characterized by a single dominant phase of increase between roughly 12 and 5 Ma.  Strikingly, the </w:t>
      </w:r>
      <w:r w:rsidR="00044441">
        <w:rPr>
          <w:rStyle w:val="st"/>
          <w:noProof/>
        </w:rPr>
        <w:t xml:space="preserve">Pearson and Palmer (2000) record falls almost entirely within our </w:t>
      </w:r>
      <w:r w:rsidR="00811286">
        <w:rPr>
          <w:rStyle w:val="st"/>
          <w:noProof/>
        </w:rPr>
        <w:t>95% likelihood</w:t>
      </w:r>
      <w:r w:rsidR="00044441">
        <w:t xml:space="preserve"> envelope, overall displaying very similar patterns of long-term change but with a relatively muted amplitude and overall rate of change relative to our reconstruction. Conversely, some of the second-order variations in the reconstruction by </w:t>
      </w:r>
      <w:r w:rsidR="00044441">
        <w:rPr>
          <w:rStyle w:val="st"/>
        </w:rPr>
        <w:t xml:space="preserve">Raitzsch and Hönisch (2013) are not well matched by our reconstruction, but the dominant episode of rapid </w:t>
      </w:r>
      <w:r w:rsidR="00044441" w:rsidRPr="00A7039F">
        <w:rPr>
          <w:rStyle w:val="st"/>
          <w:rFonts w:ascii="Times New Roman" w:hAnsi="Times New Roman"/>
        </w:rPr>
        <w:t>δ</w:t>
      </w:r>
      <w:r w:rsidR="00044441" w:rsidRPr="00A7039F">
        <w:rPr>
          <w:rStyle w:val="st"/>
          <w:vertAlign w:val="superscript"/>
        </w:rPr>
        <w:t>11</w:t>
      </w:r>
      <w:r w:rsidR="00044441" w:rsidRPr="00A7039F">
        <w:rPr>
          <w:rStyle w:val="st"/>
        </w:rPr>
        <w:t>B</w:t>
      </w:r>
      <w:r w:rsidR="00044441" w:rsidRPr="00A7039F">
        <w:rPr>
          <w:rStyle w:val="st"/>
          <w:vertAlign w:val="subscript"/>
        </w:rPr>
        <w:t>sw</w:t>
      </w:r>
      <w:r w:rsidR="00044441">
        <w:rPr>
          <w:rStyle w:val="st"/>
        </w:rPr>
        <w:t xml:space="preserve"> rise following the middle Miocene is in almost perfect agreement. We are encouraged by these agreements resulting from approaches based on very different underlying assumptions and techniques, which we take as indication for an emerging consensus view of </w:t>
      </w:r>
      <w:r w:rsidR="00044441" w:rsidRPr="00460532">
        <w:rPr>
          <w:rStyle w:val="st"/>
          <w:rFonts w:ascii="Times New Roman" w:hAnsi="Times New Roman"/>
        </w:rPr>
        <w:t>δ</w:t>
      </w:r>
      <w:r w:rsidR="00044441" w:rsidRPr="00460532">
        <w:rPr>
          <w:rStyle w:val="st"/>
          <w:vertAlign w:val="superscript"/>
        </w:rPr>
        <w:t>11</w:t>
      </w:r>
      <w:r w:rsidR="00044441" w:rsidRPr="00460532">
        <w:rPr>
          <w:rStyle w:val="st"/>
        </w:rPr>
        <w:t>B</w:t>
      </w:r>
      <w:r w:rsidR="00044441" w:rsidRPr="00460532">
        <w:rPr>
          <w:rStyle w:val="st"/>
          <w:vertAlign w:val="subscript"/>
        </w:rPr>
        <w:t>sw</w:t>
      </w:r>
      <w:r w:rsidR="00044441">
        <w:rPr>
          <w:rStyle w:val="st"/>
        </w:rPr>
        <w:t xml:space="preserve"> evolution over the last 25 Ma and as a pathway towards reconstructing </w:t>
      </w:r>
      <w:r w:rsidR="00044441" w:rsidRPr="00460532">
        <w:rPr>
          <w:rStyle w:val="st"/>
          <w:rFonts w:ascii="Times New Roman" w:hAnsi="Times New Roman"/>
        </w:rPr>
        <w:t>δ</w:t>
      </w:r>
      <w:r w:rsidR="00044441" w:rsidRPr="00460532">
        <w:rPr>
          <w:rStyle w:val="st"/>
          <w:vertAlign w:val="superscript"/>
        </w:rPr>
        <w:t>11</w:t>
      </w:r>
      <w:r w:rsidR="00044441" w:rsidRPr="00460532">
        <w:rPr>
          <w:rStyle w:val="st"/>
        </w:rPr>
        <w:t>B</w:t>
      </w:r>
      <w:r w:rsidR="00044441" w:rsidRPr="00460532">
        <w:rPr>
          <w:rStyle w:val="st"/>
          <w:vertAlign w:val="subscript"/>
        </w:rPr>
        <w:t>sw</w:t>
      </w:r>
      <w:r w:rsidR="00044441">
        <w:rPr>
          <w:rStyle w:val="st"/>
        </w:rPr>
        <w:t xml:space="preserve"> further back in time. </w:t>
      </w:r>
    </w:p>
    <w:p w14:paraId="5D72C3E6" w14:textId="03126351" w:rsidR="00C12824" w:rsidRPr="00562724" w:rsidRDefault="00044441" w:rsidP="00C12824">
      <w:r>
        <w:rPr>
          <w:rStyle w:val="st"/>
        </w:rPr>
        <w:t xml:space="preserve">The record by </w:t>
      </w:r>
      <w:r>
        <w:rPr>
          <w:rStyle w:val="st"/>
          <w:noProof/>
        </w:rPr>
        <w:t>Pearson and Palmer (2000) is well correlated to our reconstruction, but especialy during the early Miocene ther</w:t>
      </w:r>
      <w:r w:rsidR="003B4216">
        <w:rPr>
          <w:rStyle w:val="st"/>
          <w:noProof/>
        </w:rPr>
        <w:t>e</w:t>
      </w:r>
      <w:r>
        <w:rPr>
          <w:rStyle w:val="st"/>
          <w:noProof/>
        </w:rPr>
        <w:t xml:space="preserve"> is a </w:t>
      </w:r>
      <w:r w:rsidR="00876B1F">
        <w:rPr>
          <w:rStyle w:val="st"/>
        </w:rPr>
        <w:t>notable ~0.5 ‰ offset (Fig. 11</w:t>
      </w:r>
      <w:r>
        <w:rPr>
          <w:rStyle w:val="st"/>
        </w:rPr>
        <w:t xml:space="preserve">). </w:t>
      </w:r>
      <w:r w:rsidR="00371E8C">
        <w:t>This discrepancy could be due to a number of factors. Firstly,</w:t>
      </w:r>
      <w:r w:rsidR="00706DA1" w:rsidRPr="00562724">
        <w:t xml:space="preserve"> the applicability of this </w:t>
      </w:r>
      <w:r w:rsidR="00706DA1" w:rsidRPr="00562724">
        <w:rPr>
          <w:rFonts w:ascii="Times New Roman" w:hAnsi="Times New Roman"/>
        </w:rPr>
        <w:t>δ</w:t>
      </w:r>
      <w:r w:rsidR="00706DA1" w:rsidRPr="00562724">
        <w:rPr>
          <w:vertAlign w:val="superscript"/>
        </w:rPr>
        <w:t>11</w:t>
      </w:r>
      <w:r w:rsidR="00706DA1" w:rsidRPr="00562724">
        <w:t>B</w:t>
      </w:r>
      <w:r w:rsidR="00706DA1" w:rsidRPr="00562724">
        <w:rPr>
          <w:vertAlign w:val="subscript"/>
        </w:rPr>
        <w:t>sw</w:t>
      </w:r>
      <w:r w:rsidR="00706DA1" w:rsidRPr="00562724">
        <w:t xml:space="preserve"> record (derived from </w:t>
      </w:r>
      <w:r w:rsidR="00706DA1" w:rsidRPr="00562724">
        <w:rPr>
          <w:rFonts w:ascii="Times New Roman" w:hAnsi="Times New Roman"/>
        </w:rPr>
        <w:t>δ</w:t>
      </w:r>
      <w:r w:rsidR="00706DA1" w:rsidRPr="00562724">
        <w:rPr>
          <w:vertAlign w:val="superscript"/>
        </w:rPr>
        <w:t>11</w:t>
      </w:r>
      <w:r w:rsidR="00706DA1" w:rsidRPr="00562724">
        <w:t xml:space="preserve">B data measured using NTIMS) to </w:t>
      </w:r>
      <w:r w:rsidR="00706DA1" w:rsidRPr="00562724">
        <w:rPr>
          <w:rFonts w:ascii="Times New Roman" w:hAnsi="Times New Roman"/>
        </w:rPr>
        <w:t>δ</w:t>
      </w:r>
      <w:r w:rsidR="00706DA1" w:rsidRPr="00562724">
        <w:rPr>
          <w:vertAlign w:val="superscript"/>
        </w:rPr>
        <w:t>11</w:t>
      </w:r>
      <w:r w:rsidR="00706DA1" w:rsidRPr="00562724">
        <w:t xml:space="preserve">B records generated using the MC-ICPMS is </w:t>
      </w:r>
      <w:r w:rsidR="00706DA1">
        <w:t>uncertain</w:t>
      </w:r>
      <w:r w:rsidR="00706DA1" w:rsidRPr="00562724">
        <w:t xml:space="preserve"> (Foster et al., 2013). In addition, this </w:t>
      </w:r>
      <w:r w:rsidR="00706DA1" w:rsidRPr="00562724">
        <w:rPr>
          <w:rFonts w:ascii="Times New Roman" w:hAnsi="Times New Roman"/>
        </w:rPr>
        <w:t>δ</w:t>
      </w:r>
      <w:r w:rsidR="00706DA1" w:rsidRPr="00562724">
        <w:rPr>
          <w:rFonts w:ascii="Times New Roman" w:hAnsi="Times New Roman"/>
          <w:vertAlign w:val="superscript"/>
        </w:rPr>
        <w:t>11</w:t>
      </w:r>
      <w:r w:rsidR="00706DA1" w:rsidRPr="00562724">
        <w:rPr>
          <w:rFonts w:ascii="Times New Roman" w:hAnsi="Times New Roman"/>
        </w:rPr>
        <w:t>B</w:t>
      </w:r>
      <w:r w:rsidR="00706DA1" w:rsidRPr="00562724">
        <w:rPr>
          <w:rFonts w:ascii="Times New Roman" w:hAnsi="Times New Roman"/>
          <w:vertAlign w:val="subscript"/>
        </w:rPr>
        <w:t>sw</w:t>
      </w:r>
      <w:r w:rsidR="00706DA1" w:rsidRPr="00562724">
        <w:t xml:space="preserve"> record is determined using a fractionation factor of 1.0194 (Kakihana et al., 1977), whereas recent experimental data have shown the value to be higher (1.0272 ± 0.0006, Klochko et al., 2006)</w:t>
      </w:r>
      <w:r w:rsidR="00C8325F">
        <w:t>, although foraminiferal vital effects are likely to mute this discrepancy</w:t>
      </w:r>
      <w:r w:rsidR="00706DA1" w:rsidRPr="00562724">
        <w:t xml:space="preserve">. Thirdly, given our understanding of the </w:t>
      </w:r>
      <w:r w:rsidR="00706DA1" w:rsidRPr="00562724">
        <w:rPr>
          <w:rFonts w:ascii="Times New Roman" w:hAnsi="Times New Roman"/>
        </w:rPr>
        <w:t>δ</w:t>
      </w:r>
      <w:r w:rsidR="00706DA1" w:rsidRPr="00562724">
        <w:rPr>
          <w:rFonts w:ascii="Times New Roman" w:hAnsi="Times New Roman"/>
          <w:vertAlign w:val="superscript"/>
        </w:rPr>
        <w:t>11</w:t>
      </w:r>
      <w:r w:rsidR="00706DA1" w:rsidRPr="00562724">
        <w:rPr>
          <w:rFonts w:ascii="Times New Roman" w:hAnsi="Times New Roman"/>
        </w:rPr>
        <w:t>B</w:t>
      </w:r>
      <w:r w:rsidR="00706DA1" w:rsidRPr="00562724">
        <w:t xml:space="preserve"> difference between species/size fractions (Foster, 2008; Henehan et al., 2013), the mixed species and size fractions used to make the </w:t>
      </w:r>
      <w:r w:rsidR="00706DA1" w:rsidRPr="00562724">
        <w:rPr>
          <w:rFonts w:ascii="Times New Roman" w:hAnsi="Times New Roman"/>
        </w:rPr>
        <w:t>δ</w:t>
      </w:r>
      <w:r w:rsidR="00706DA1" w:rsidRPr="00562724">
        <w:rPr>
          <w:rFonts w:ascii="Times New Roman" w:hAnsi="Times New Roman"/>
          <w:vertAlign w:val="superscript"/>
        </w:rPr>
        <w:t>11</w:t>
      </w:r>
      <w:r w:rsidR="00706DA1" w:rsidRPr="00562724">
        <w:rPr>
          <w:rFonts w:ascii="Times New Roman" w:hAnsi="Times New Roman"/>
        </w:rPr>
        <w:t>B</w:t>
      </w:r>
      <w:r w:rsidR="00706DA1" w:rsidRPr="00562724">
        <w:t xml:space="preserve"> measurements in </w:t>
      </w:r>
      <w:r w:rsidR="00706DA1">
        <w:t>that study</w:t>
      </w:r>
      <w:r w:rsidR="00706DA1" w:rsidRPr="00562724">
        <w:t xml:space="preserve"> may have </w:t>
      </w:r>
      <w:r w:rsidR="00706DA1">
        <w:t>introduced some</w:t>
      </w:r>
      <w:r w:rsidR="00706DA1" w:rsidRPr="00562724">
        <w:t xml:space="preserve"> </w:t>
      </w:r>
      <w:r w:rsidR="00706DA1">
        <w:t xml:space="preserve">additional </w:t>
      </w:r>
      <w:r w:rsidR="00706DA1" w:rsidRPr="00562724">
        <w:t xml:space="preserve">uncertainty in the reconstructed </w:t>
      </w:r>
      <w:r w:rsidR="00706DA1" w:rsidRPr="00562724">
        <w:rPr>
          <w:rFonts w:ascii="Times New Roman" w:hAnsi="Times New Roman"/>
        </w:rPr>
        <w:t>δ</w:t>
      </w:r>
      <w:r w:rsidR="00706DA1" w:rsidRPr="00562724">
        <w:rPr>
          <w:rFonts w:ascii="Times New Roman" w:hAnsi="Times New Roman"/>
          <w:vertAlign w:val="superscript"/>
        </w:rPr>
        <w:t>11</w:t>
      </w:r>
      <w:r w:rsidR="00706DA1" w:rsidRPr="00562724">
        <w:rPr>
          <w:rFonts w:ascii="Times New Roman" w:hAnsi="Times New Roman"/>
        </w:rPr>
        <w:t>B</w:t>
      </w:r>
      <w:r w:rsidR="00706DA1" w:rsidRPr="00562724">
        <w:rPr>
          <w:rFonts w:ascii="Times New Roman" w:hAnsi="Times New Roman"/>
          <w:vertAlign w:val="subscript"/>
        </w:rPr>
        <w:t>sw</w:t>
      </w:r>
      <w:r w:rsidR="00706DA1" w:rsidRPr="00562724">
        <w:t xml:space="preserve">. </w:t>
      </w:r>
      <w:r w:rsidR="00C12824">
        <w:t xml:space="preserve">Conversely, there is substantial spread between our three time points during the earliest Miocene which combined with the edge effect of the smoothing gives rise to a widening uncertainty envelope during the time of greatest disagreement with </w:t>
      </w:r>
      <w:r w:rsidR="00C12824">
        <w:rPr>
          <w:rStyle w:val="st"/>
          <w:noProof/>
        </w:rPr>
        <w:t>Pearson and Palmer (2000). This could be taken as indication that our reconstruction, rather than that of Pearson and Palmer, is biased during the early Miocene.</w:t>
      </w:r>
    </w:p>
    <w:p w14:paraId="59710FB6" w14:textId="6798E8EB" w:rsidR="00706DA1" w:rsidRPr="00562724" w:rsidRDefault="00706DA1" w:rsidP="00706DA1"/>
    <w:p w14:paraId="4EEED47E" w14:textId="348A9383" w:rsidR="00723510" w:rsidRPr="003D6460" w:rsidRDefault="00961950" w:rsidP="00723510">
      <w:pPr>
        <w:widowControl w:val="0"/>
        <w:autoSpaceDE w:val="0"/>
        <w:autoSpaceDN w:val="0"/>
        <w:adjustRightInd w:val="0"/>
        <w:spacing w:after="240"/>
        <w:rPr>
          <w:rFonts w:eastAsiaTheme="minorEastAsia" w:cs="Times"/>
          <w:lang w:val="en-US" w:eastAsia="ja-JP"/>
        </w:rPr>
      </w:pPr>
      <w:r>
        <w:rPr>
          <w:rStyle w:val="st"/>
        </w:rPr>
        <w:t xml:space="preserve"> </w:t>
      </w:r>
      <w:bookmarkStart w:id="13" w:name="_Toc287775658"/>
      <w:r w:rsidR="00291381">
        <w:rPr>
          <w:rStyle w:val="st"/>
        </w:rPr>
        <w:t xml:space="preserve">The </w:t>
      </w:r>
      <w:r w:rsidR="00291381" w:rsidRPr="000330E1">
        <w:rPr>
          <w:rStyle w:val="st"/>
          <w:rFonts w:ascii="Times New Roman" w:hAnsi="Times New Roman"/>
        </w:rPr>
        <w:t>δ</w:t>
      </w:r>
      <w:r w:rsidR="00291381" w:rsidRPr="000330E1">
        <w:rPr>
          <w:rStyle w:val="st"/>
          <w:vertAlign w:val="superscript"/>
        </w:rPr>
        <w:t>11</w:t>
      </w:r>
      <w:r w:rsidR="00291381" w:rsidRPr="000330E1">
        <w:rPr>
          <w:rStyle w:val="st"/>
        </w:rPr>
        <w:t>B</w:t>
      </w:r>
      <w:r w:rsidR="00291381" w:rsidRPr="000330E1">
        <w:rPr>
          <w:rStyle w:val="st"/>
          <w:vertAlign w:val="subscript"/>
        </w:rPr>
        <w:t>sw</w:t>
      </w:r>
      <w:r w:rsidR="00291381">
        <w:rPr>
          <w:rStyle w:val="st"/>
        </w:rPr>
        <w:t xml:space="preserve"> record calculated using benthic </w:t>
      </w:r>
      <w:r w:rsidR="00291381" w:rsidRPr="000330E1">
        <w:rPr>
          <w:rStyle w:val="st"/>
          <w:rFonts w:ascii="Times New Roman" w:hAnsi="Times New Roman"/>
        </w:rPr>
        <w:t>δ</w:t>
      </w:r>
      <w:r w:rsidR="00291381" w:rsidRPr="000330E1">
        <w:rPr>
          <w:rStyle w:val="st"/>
          <w:vertAlign w:val="superscript"/>
        </w:rPr>
        <w:t>11</w:t>
      </w:r>
      <w:r w:rsidR="00291381" w:rsidRPr="000330E1">
        <w:rPr>
          <w:rStyle w:val="st"/>
        </w:rPr>
        <w:t>B</w:t>
      </w:r>
      <w:r w:rsidR="00291381">
        <w:rPr>
          <w:rStyle w:val="st"/>
        </w:rPr>
        <w:t xml:space="preserve"> and assumed deep ocean pH changes </w:t>
      </w:r>
      <w:r w:rsidR="00291381">
        <w:rPr>
          <w:rStyle w:val="st"/>
          <w:noProof/>
        </w:rPr>
        <w:t>(Raitzsch and Hönisch, 2013)</w:t>
      </w:r>
      <w:r w:rsidR="00291381">
        <w:rPr>
          <w:rStyle w:val="st"/>
        </w:rPr>
        <w:t xml:space="preserve"> is also rather similar to </w:t>
      </w:r>
      <w:r w:rsidR="00811286">
        <w:rPr>
          <w:rStyle w:val="st"/>
        </w:rPr>
        <w:t xml:space="preserve">our </w:t>
      </w:r>
      <w:r w:rsidR="00291381" w:rsidRPr="000330E1">
        <w:rPr>
          <w:rStyle w:val="st"/>
          <w:rFonts w:ascii="Times New Roman" w:hAnsi="Times New Roman"/>
        </w:rPr>
        <w:t>δ</w:t>
      </w:r>
      <w:r w:rsidR="00291381" w:rsidRPr="000330E1">
        <w:rPr>
          <w:rStyle w:val="st"/>
          <w:vertAlign w:val="superscript"/>
        </w:rPr>
        <w:t>11</w:t>
      </w:r>
      <w:r w:rsidR="00291381" w:rsidRPr="000330E1">
        <w:rPr>
          <w:rStyle w:val="st"/>
        </w:rPr>
        <w:t>B</w:t>
      </w:r>
      <w:r w:rsidR="00291381" w:rsidRPr="000330E1">
        <w:rPr>
          <w:rStyle w:val="st"/>
          <w:vertAlign w:val="subscript"/>
        </w:rPr>
        <w:t>sw</w:t>
      </w:r>
      <w:r w:rsidR="00291381">
        <w:rPr>
          <w:rStyle w:val="st"/>
        </w:rPr>
        <w:t xml:space="preserve"> reconstruct</w:t>
      </w:r>
      <w:r w:rsidR="00811286">
        <w:rPr>
          <w:rStyle w:val="st"/>
        </w:rPr>
        <w:t xml:space="preserve">ion. </w:t>
      </w:r>
      <w:r w:rsidR="00723510">
        <w:rPr>
          <w:rStyle w:val="st"/>
        </w:rPr>
        <w:t xml:space="preserve">The discrepancy between </w:t>
      </w:r>
      <w:r w:rsidR="00371E8C">
        <w:rPr>
          <w:rStyle w:val="st"/>
        </w:rPr>
        <w:t xml:space="preserve">the two </w:t>
      </w:r>
      <w:r w:rsidR="00723510">
        <w:rPr>
          <w:rStyle w:val="st"/>
        </w:rPr>
        <w:t>record</w:t>
      </w:r>
      <w:r w:rsidR="00371E8C">
        <w:rPr>
          <w:rStyle w:val="st"/>
        </w:rPr>
        <w:t>s</w:t>
      </w:r>
      <w:r w:rsidR="00723510">
        <w:rPr>
          <w:rStyle w:val="st"/>
        </w:rPr>
        <w:t xml:space="preserve"> </w:t>
      </w:r>
      <w:r w:rsidR="00BB6539">
        <w:rPr>
          <w:rStyle w:val="st"/>
        </w:rPr>
        <w:t>in the early Miocene</w:t>
      </w:r>
      <w:r w:rsidR="00044441">
        <w:rPr>
          <w:rStyle w:val="st"/>
        </w:rPr>
        <w:t xml:space="preserve"> could plausibly be explained by bias in our record (see above) or</w:t>
      </w:r>
      <w:r w:rsidR="00BB6539">
        <w:rPr>
          <w:rStyle w:val="st"/>
        </w:rPr>
        <w:t xml:space="preserve"> </w:t>
      </w:r>
      <w:r w:rsidR="00723510">
        <w:rPr>
          <w:rStyle w:val="st"/>
        </w:rPr>
        <w:t>may in part be as a result of the treatment of surface water pH</w:t>
      </w:r>
      <w:r w:rsidR="00371E8C">
        <w:rPr>
          <w:rStyle w:val="st"/>
        </w:rPr>
        <w:t xml:space="preserve"> in the study</w:t>
      </w:r>
      <w:r w:rsidR="0020703C">
        <w:rPr>
          <w:rStyle w:val="st"/>
        </w:rPr>
        <w:t xml:space="preserve"> of </w:t>
      </w:r>
      <w:r w:rsidR="00371E8C">
        <w:rPr>
          <w:rStyle w:val="st"/>
        </w:rPr>
        <w:t>Raitzsch and Hönisch (2013)</w:t>
      </w:r>
      <w:r w:rsidR="00C8325F">
        <w:rPr>
          <w:rStyle w:val="st"/>
        </w:rPr>
        <w:t xml:space="preserve"> and their assumption of constant surface-deep pH gradient (see Fig 9)</w:t>
      </w:r>
      <w:r w:rsidR="00723510">
        <w:rPr>
          <w:rStyle w:val="st"/>
        </w:rPr>
        <w:t>.</w:t>
      </w:r>
      <w:r w:rsidR="0020703C">
        <w:rPr>
          <w:rStyle w:val="st"/>
        </w:rPr>
        <w:t xml:space="preserve"> </w:t>
      </w:r>
      <w:r w:rsidR="0020703C">
        <w:rPr>
          <w:rFonts w:ascii="Times New Roman" w:hAnsi="Times New Roman"/>
          <w:bCs/>
          <w:lang w:val="en-US"/>
        </w:rPr>
        <w:t>The combined output from two</w:t>
      </w:r>
      <w:r w:rsidR="00D10399">
        <w:rPr>
          <w:rFonts w:ascii="Times New Roman" w:hAnsi="Times New Roman"/>
          <w:bCs/>
          <w:lang w:val="en-US"/>
        </w:rPr>
        <w:t xml:space="preserve"> carbon cycle box</w:t>
      </w:r>
      <w:r w:rsidR="0020703C">
        <w:rPr>
          <w:rFonts w:ascii="Times New Roman" w:hAnsi="Times New Roman"/>
          <w:bCs/>
          <w:lang w:val="en-US"/>
        </w:rPr>
        <w:t xml:space="preserve"> models is used to make </w:t>
      </w:r>
      <w:r w:rsidR="0020703C" w:rsidRPr="00CD4B3D">
        <w:rPr>
          <w:rFonts w:ascii="Times New Roman" w:hAnsi="Times New Roman"/>
          <w:bCs/>
          <w:lang w:val="en-US"/>
        </w:rPr>
        <w:t>the assumption that</w:t>
      </w:r>
      <w:r w:rsidR="0020703C" w:rsidRPr="00CD4B3D">
        <w:rPr>
          <w:rFonts w:ascii="Times New Roman" w:hAnsi="Times New Roman"/>
          <w:lang w:val="en-US"/>
        </w:rPr>
        <w:t xml:space="preserve"> surface ocean pH </w:t>
      </w:r>
      <w:r w:rsidR="0020703C" w:rsidRPr="00CD4B3D">
        <w:rPr>
          <w:rFonts w:ascii="Times New Roman" w:eastAsiaTheme="minorEastAsia" w:hAnsi="Times New Roman"/>
          <w:lang w:val="en-US" w:eastAsia="ja-JP"/>
        </w:rPr>
        <w:t>near-linearly incr</w:t>
      </w:r>
      <w:r w:rsidR="001A1897" w:rsidRPr="00CD4B3D">
        <w:rPr>
          <w:rFonts w:ascii="Times New Roman" w:eastAsiaTheme="minorEastAsia" w:hAnsi="Times New Roman"/>
          <w:lang w:val="en-US" w:eastAsia="ja-JP"/>
        </w:rPr>
        <w:t>eased by 0.39 over the last 50 M</w:t>
      </w:r>
      <w:r w:rsidR="0020703C" w:rsidRPr="00CD4B3D">
        <w:rPr>
          <w:rFonts w:ascii="Times New Roman" w:eastAsiaTheme="minorEastAsia" w:hAnsi="Times New Roman"/>
          <w:lang w:val="en-US" w:eastAsia="ja-JP"/>
        </w:rPr>
        <w:t>yrs</w:t>
      </w:r>
      <w:r w:rsidR="0020703C" w:rsidRPr="00CD4B3D">
        <w:rPr>
          <w:rFonts w:ascii="Times New Roman" w:hAnsi="Times New Roman"/>
          <w:lang w:val="en-US"/>
        </w:rPr>
        <w:t>.</w:t>
      </w:r>
      <w:r w:rsidR="00723510">
        <w:rPr>
          <w:rStyle w:val="st"/>
        </w:rPr>
        <w:t xml:space="preserve"> </w:t>
      </w:r>
      <w:r w:rsidR="001A1897">
        <w:rPr>
          <w:rStyle w:val="st"/>
        </w:rPr>
        <w:t xml:space="preserve">The first source of surface water pH estimates is from the study of </w:t>
      </w:r>
      <w:r w:rsidR="00723510" w:rsidRPr="00FD7A2A">
        <w:rPr>
          <w:rFonts w:ascii="Times New Roman" w:eastAsiaTheme="minorEastAsia" w:hAnsi="Times New Roman"/>
          <w:lang w:val="en-US" w:eastAsia="ja-JP"/>
        </w:rPr>
        <w:t xml:space="preserve">Ridgwell et al. </w:t>
      </w:r>
      <w:r w:rsidR="00044441">
        <w:rPr>
          <w:rFonts w:ascii="Times New Roman" w:eastAsiaTheme="minorEastAsia" w:hAnsi="Times New Roman"/>
          <w:lang w:val="en-US" w:eastAsia="ja-JP"/>
        </w:rPr>
        <w:t>(</w:t>
      </w:r>
      <w:r w:rsidR="00723510" w:rsidRPr="00FD7A2A">
        <w:rPr>
          <w:rFonts w:ascii="Times New Roman" w:eastAsiaTheme="minorEastAsia" w:hAnsi="Times New Roman"/>
          <w:lang w:val="en-US" w:eastAsia="ja-JP"/>
        </w:rPr>
        <w:t>2005</w:t>
      </w:r>
      <w:r w:rsidR="00044441">
        <w:rPr>
          <w:rFonts w:ascii="Times New Roman" w:eastAsiaTheme="minorEastAsia" w:hAnsi="Times New Roman"/>
          <w:lang w:val="en-US" w:eastAsia="ja-JP"/>
        </w:rPr>
        <w:t>)</w:t>
      </w:r>
      <w:r w:rsidR="00371E8C">
        <w:rPr>
          <w:rFonts w:ascii="Times New Roman" w:eastAsiaTheme="minorEastAsia" w:hAnsi="Times New Roman"/>
          <w:lang w:val="en-US" w:eastAsia="ja-JP"/>
        </w:rPr>
        <w:t xml:space="preserve">, </w:t>
      </w:r>
      <w:r w:rsidR="001A1897">
        <w:rPr>
          <w:rFonts w:ascii="Times New Roman" w:hAnsi="Times New Roman"/>
          <w:color w:val="1A1718"/>
          <w:lang w:val="en-US"/>
        </w:rPr>
        <w:t>where CO</w:t>
      </w:r>
      <w:r w:rsidR="001A1897">
        <w:rPr>
          <w:rFonts w:ascii="Times New Roman" w:hAnsi="Times New Roman"/>
          <w:color w:val="1A1718"/>
          <w:vertAlign w:val="subscript"/>
          <w:lang w:val="en-US"/>
        </w:rPr>
        <w:t>2</w:t>
      </w:r>
      <w:r w:rsidR="001A1897">
        <w:rPr>
          <w:rFonts w:ascii="Times New Roman" w:hAnsi="Times New Roman"/>
          <w:color w:val="1A1718"/>
          <w:lang w:val="en-US"/>
        </w:rPr>
        <w:t xml:space="preserve"> proxy data including </w:t>
      </w:r>
      <w:r w:rsidR="001A1897">
        <w:rPr>
          <w:rFonts w:ascii="Times New Roman" w:hAnsi="Times New Roman"/>
          <w:bCs/>
          <w:lang w:val="en-US"/>
        </w:rPr>
        <w:t>some</w:t>
      </w:r>
      <w:r w:rsidR="00723510" w:rsidRPr="00723510">
        <w:rPr>
          <w:rFonts w:ascii="Times New Roman" w:hAnsi="Times New Roman"/>
          <w:bCs/>
          <w:lang w:val="en-US"/>
        </w:rPr>
        <w:t xml:space="preserve"> derived using the boron isotope-pH proxy</w:t>
      </w:r>
      <w:r w:rsidR="001A1897">
        <w:rPr>
          <w:rFonts w:ascii="Times New Roman" w:hAnsi="Times New Roman"/>
          <w:bCs/>
          <w:lang w:val="en-US"/>
        </w:rPr>
        <w:t xml:space="preserve"> is used</w:t>
      </w:r>
      <w:r w:rsidR="00723510" w:rsidRPr="00723510">
        <w:rPr>
          <w:rFonts w:ascii="Times New Roman" w:hAnsi="Times New Roman"/>
          <w:bCs/>
          <w:lang w:val="en-US"/>
        </w:rPr>
        <w:t>, leading to some circularity in the methodology. The second source of surface water pH</w:t>
      </w:r>
      <w:r w:rsidR="00723510">
        <w:rPr>
          <w:rFonts w:ascii="Times New Roman" w:hAnsi="Times New Roman"/>
          <w:bCs/>
          <w:lang w:val="en-US"/>
        </w:rPr>
        <w:t xml:space="preserve"> estimates</w:t>
      </w:r>
      <w:r w:rsidR="00284EB9">
        <w:rPr>
          <w:rFonts w:ascii="Times New Roman" w:hAnsi="Times New Roman"/>
          <w:bCs/>
          <w:lang w:val="en-US"/>
        </w:rPr>
        <w:t xml:space="preserve"> is</w:t>
      </w:r>
      <w:r w:rsidR="00723510">
        <w:rPr>
          <w:rFonts w:ascii="Times New Roman" w:hAnsi="Times New Roman"/>
          <w:bCs/>
          <w:lang w:val="en-US"/>
        </w:rPr>
        <w:t xml:space="preserve"> </w:t>
      </w:r>
      <w:r w:rsidR="00284EB9">
        <w:rPr>
          <w:rFonts w:eastAsiaTheme="minorEastAsia" w:cs="Helvetica"/>
          <w:lang w:val="en-US" w:eastAsia="ja-JP"/>
        </w:rPr>
        <w:t>from Tyrrell &amp; Zeebe (2004) and</w:t>
      </w:r>
      <w:r w:rsidR="00723510" w:rsidRPr="00F84C60">
        <w:rPr>
          <w:rFonts w:eastAsiaTheme="minorEastAsia" w:cs="Helvetica"/>
          <w:lang w:val="en-US" w:eastAsia="ja-JP"/>
        </w:rPr>
        <w:t xml:space="preserve"> based on GEOCARB</w:t>
      </w:r>
      <w:r w:rsidR="00BB6539">
        <w:rPr>
          <w:rFonts w:eastAsiaTheme="minorEastAsia" w:cs="Helvetica"/>
          <w:lang w:val="en-US" w:eastAsia="ja-JP"/>
        </w:rPr>
        <w:t xml:space="preserve"> where</w:t>
      </w:r>
      <w:r w:rsidR="00723510" w:rsidRPr="00F84C60">
        <w:rPr>
          <w:rFonts w:eastAsiaTheme="minorEastAsia" w:cs="Helvetica"/>
          <w:lang w:val="en-US" w:eastAsia="ja-JP"/>
        </w:rPr>
        <w:t xml:space="preserve"> the circularity problem does not apply </w:t>
      </w:r>
      <w:r w:rsidR="00CD4B3D">
        <w:rPr>
          <w:rFonts w:eastAsiaTheme="minorEastAsia" w:cs="Helvetica"/>
          <w:lang w:val="en-US" w:eastAsia="ja-JP"/>
        </w:rPr>
        <w:t>.</w:t>
      </w:r>
      <w:r w:rsidR="00723510">
        <w:rPr>
          <w:rFonts w:eastAsiaTheme="minorEastAsia" w:cs="Helvetica"/>
          <w:lang w:val="en-US" w:eastAsia="ja-JP"/>
        </w:rPr>
        <w:t xml:space="preserve"> </w:t>
      </w:r>
      <w:r w:rsidR="00F42E5E" w:rsidRPr="00101C06">
        <w:rPr>
          <w:rFonts w:ascii="Times New Roman" w:hAnsi="Times New Roman"/>
          <w:bCs/>
          <w:lang w:val="en-US"/>
        </w:rPr>
        <w:t>While</w:t>
      </w:r>
      <w:r w:rsidR="00F42E5E">
        <w:rPr>
          <w:rFonts w:ascii="Times New Roman" w:hAnsi="Times New Roman"/>
          <w:bCs/>
          <w:lang w:val="en-US"/>
        </w:rPr>
        <w:t xml:space="preserve"> this linear pH increase broadly </w:t>
      </w:r>
      <w:r w:rsidR="003B4216">
        <w:rPr>
          <w:rFonts w:ascii="Times New Roman" w:hAnsi="Times New Roman"/>
          <w:bCs/>
          <w:lang w:val="en-US"/>
        </w:rPr>
        <w:t>matches</w:t>
      </w:r>
      <w:r w:rsidR="00F42E5E">
        <w:rPr>
          <w:rFonts w:ascii="Times New Roman" w:hAnsi="Times New Roman"/>
          <w:bCs/>
          <w:lang w:val="en-US"/>
        </w:rPr>
        <w:t xml:space="preserve"> the CO</w:t>
      </w:r>
      <w:r w:rsidR="00F42E5E">
        <w:rPr>
          <w:rFonts w:ascii="Times New Roman" w:hAnsi="Times New Roman"/>
          <w:bCs/>
          <w:vertAlign w:val="subscript"/>
          <w:lang w:val="en-US"/>
        </w:rPr>
        <w:t>2</w:t>
      </w:r>
      <w:r w:rsidR="00F42E5E" w:rsidRPr="00D85F7D">
        <w:rPr>
          <w:rFonts w:ascii="Times New Roman" w:hAnsi="Times New Roman"/>
          <w:bCs/>
          <w:lang w:val="en-US"/>
        </w:rPr>
        <w:t xml:space="preserve"> </w:t>
      </w:r>
      <w:r w:rsidR="00F42E5E">
        <w:rPr>
          <w:rFonts w:ascii="Times New Roman" w:hAnsi="Times New Roman"/>
          <w:bCs/>
          <w:lang w:val="en-US"/>
        </w:rPr>
        <w:t xml:space="preserve">decline from proxy records between the middle Miocene and present, it is at odds with the </w:t>
      </w:r>
      <w:r w:rsidR="00F42E5E" w:rsidRPr="00BB6539">
        <w:rPr>
          <w:rFonts w:ascii="Times New Roman" w:hAnsi="Times New Roman"/>
          <w:bCs/>
          <w:lang w:val="en-US"/>
        </w:rPr>
        <w:t>CO</w:t>
      </w:r>
      <w:r w:rsidR="00F42E5E">
        <w:rPr>
          <w:rFonts w:ascii="Times New Roman" w:hAnsi="Times New Roman"/>
          <w:bCs/>
          <w:vertAlign w:val="subscript"/>
          <w:lang w:val="en-US"/>
        </w:rPr>
        <w:t>2</w:t>
      </w:r>
      <w:r w:rsidR="00F42E5E">
        <w:rPr>
          <w:rFonts w:ascii="Times New Roman" w:hAnsi="Times New Roman"/>
          <w:bCs/>
          <w:lang w:val="en-US"/>
        </w:rPr>
        <w:t xml:space="preserve"> proxy data during the early Miocene that show CO</w:t>
      </w:r>
      <w:r w:rsidR="00F42E5E" w:rsidRPr="00284EB9">
        <w:rPr>
          <w:rFonts w:ascii="Times New Roman" w:hAnsi="Times New Roman"/>
          <w:bCs/>
          <w:vertAlign w:val="subscript"/>
          <w:lang w:val="en-US"/>
        </w:rPr>
        <w:t>2</w:t>
      </w:r>
      <w:r w:rsidR="00F42E5E">
        <w:rPr>
          <w:rFonts w:ascii="Times New Roman" w:hAnsi="Times New Roman"/>
          <w:bCs/>
          <w:lang w:val="en-US"/>
        </w:rPr>
        <w:t xml:space="preserve"> was lower than the middle Miocene during this interval </w:t>
      </w:r>
      <w:r w:rsidR="00F42E5E">
        <w:rPr>
          <w:rFonts w:ascii="Times New Roman" w:hAnsi="Times New Roman"/>
          <w:color w:val="1A1718"/>
          <w:lang w:val="en-US"/>
        </w:rPr>
        <w:t>(Beerling and Royer, 2011).</w:t>
      </w:r>
      <w:r w:rsidR="00F42E5E">
        <w:rPr>
          <w:rFonts w:ascii="Times New Roman" w:hAnsi="Times New Roman"/>
          <w:bCs/>
          <w:lang w:val="en-US"/>
        </w:rPr>
        <w:t xml:space="preserve"> </w:t>
      </w:r>
      <w:r w:rsidR="00101C06">
        <w:rPr>
          <w:rFonts w:ascii="Times New Roman" w:hAnsi="Times New Roman"/>
          <w:bCs/>
          <w:lang w:val="en-US"/>
        </w:rPr>
        <w:t>C</w:t>
      </w:r>
      <w:r w:rsidR="00BB6539">
        <w:rPr>
          <w:rFonts w:ascii="Times New Roman" w:hAnsi="Times New Roman"/>
          <w:bCs/>
          <w:lang w:val="en-US"/>
        </w:rPr>
        <w:t>onsequently the</w:t>
      </w:r>
      <w:r w:rsidR="00101C06">
        <w:rPr>
          <w:rFonts w:ascii="Times New Roman" w:hAnsi="Times New Roman"/>
          <w:bCs/>
          <w:lang w:val="en-US"/>
        </w:rPr>
        <w:t xml:space="preserve"> </w:t>
      </w:r>
      <w:r w:rsidR="00284EB9">
        <w:rPr>
          <w:rFonts w:ascii="Times New Roman" w:hAnsi="Times New Roman"/>
          <w:bCs/>
          <w:lang w:val="en-US"/>
        </w:rPr>
        <w:t>proxy</w:t>
      </w:r>
      <w:r w:rsidR="00101C06">
        <w:rPr>
          <w:rFonts w:ascii="Times New Roman" w:hAnsi="Times New Roman"/>
          <w:bCs/>
          <w:lang w:val="en-US"/>
        </w:rPr>
        <w:t xml:space="preserve"> CO</w:t>
      </w:r>
      <w:r w:rsidR="00101C06">
        <w:rPr>
          <w:rFonts w:ascii="Times New Roman" w:hAnsi="Times New Roman"/>
          <w:bCs/>
          <w:vertAlign w:val="subscript"/>
          <w:lang w:val="en-US"/>
        </w:rPr>
        <w:t>2</w:t>
      </w:r>
      <w:r w:rsidR="00101C06">
        <w:rPr>
          <w:rFonts w:ascii="Times New Roman" w:hAnsi="Times New Roman"/>
          <w:bCs/>
          <w:lang w:val="en-US"/>
        </w:rPr>
        <w:t xml:space="preserve"> </w:t>
      </w:r>
      <w:r w:rsidR="00284EB9">
        <w:rPr>
          <w:rFonts w:ascii="Times New Roman" w:hAnsi="Times New Roman"/>
          <w:bCs/>
          <w:lang w:val="en-US"/>
        </w:rPr>
        <w:t>and</w:t>
      </w:r>
      <w:r w:rsidR="00101C06">
        <w:rPr>
          <w:rFonts w:ascii="Times New Roman" w:hAnsi="Times New Roman"/>
          <w:bCs/>
          <w:lang w:val="en-US"/>
        </w:rPr>
        <w:t xml:space="preserve"> surface water</w:t>
      </w:r>
      <w:r w:rsidR="00BB6539">
        <w:rPr>
          <w:rFonts w:ascii="Times New Roman" w:hAnsi="Times New Roman"/>
          <w:bCs/>
          <w:lang w:val="en-US"/>
        </w:rPr>
        <w:t xml:space="preserve"> pH estimates </w:t>
      </w:r>
      <w:r w:rsidR="00D66843">
        <w:rPr>
          <w:rFonts w:ascii="Times New Roman" w:hAnsi="Times New Roman"/>
          <w:color w:val="1A1718"/>
          <w:lang w:val="en-US"/>
        </w:rPr>
        <w:t xml:space="preserve">may </w:t>
      </w:r>
      <w:r w:rsidR="00BB6539">
        <w:rPr>
          <w:rFonts w:ascii="Times New Roman" w:hAnsi="Times New Roman"/>
          <w:color w:val="1A1718"/>
          <w:lang w:val="en-US"/>
        </w:rPr>
        <w:t>not</w:t>
      </w:r>
      <w:r w:rsidR="00D66843">
        <w:rPr>
          <w:rFonts w:ascii="Times New Roman" w:hAnsi="Times New Roman"/>
          <w:color w:val="1A1718"/>
          <w:lang w:val="en-US"/>
        </w:rPr>
        <w:t xml:space="preserve"> be</w:t>
      </w:r>
      <w:r w:rsidR="00BB6539">
        <w:rPr>
          <w:rFonts w:ascii="Times New Roman" w:hAnsi="Times New Roman"/>
          <w:color w:val="1A1718"/>
          <w:lang w:val="en-US"/>
        </w:rPr>
        <w:t xml:space="preserve"> well described by the linear change</w:t>
      </w:r>
      <w:r w:rsidR="00101C06">
        <w:rPr>
          <w:rFonts w:ascii="Times New Roman" w:hAnsi="Times New Roman"/>
          <w:color w:val="1A1718"/>
          <w:lang w:val="en-US"/>
        </w:rPr>
        <w:t xml:space="preserve"> in pH applied </w:t>
      </w:r>
      <w:r w:rsidR="00284EB9">
        <w:rPr>
          <w:rFonts w:ascii="Times New Roman" w:hAnsi="Times New Roman"/>
          <w:bCs/>
          <w:lang w:val="en-US"/>
        </w:rPr>
        <w:t xml:space="preserve">by </w:t>
      </w:r>
      <w:r w:rsidR="00284EB9">
        <w:rPr>
          <w:rStyle w:val="st"/>
        </w:rPr>
        <w:t>Raitzsch and Hönisch (2013) across this interval</w:t>
      </w:r>
      <w:r w:rsidR="00F42E5E">
        <w:rPr>
          <w:rStyle w:val="st"/>
        </w:rPr>
        <w:t xml:space="preserve">, potentially contributing to the discrepancy between our respective </w:t>
      </w:r>
      <w:r w:rsidR="00F42E5E" w:rsidRPr="00241937">
        <w:rPr>
          <w:rStyle w:val="st"/>
          <w:rFonts w:ascii="Times New Roman" w:hAnsi="Times New Roman"/>
        </w:rPr>
        <w:t>δ</w:t>
      </w:r>
      <w:r w:rsidR="00F42E5E" w:rsidRPr="00241937">
        <w:rPr>
          <w:rStyle w:val="st"/>
          <w:vertAlign w:val="superscript"/>
        </w:rPr>
        <w:t>11</w:t>
      </w:r>
      <w:r w:rsidR="00F42E5E" w:rsidRPr="00241937">
        <w:rPr>
          <w:rStyle w:val="st"/>
        </w:rPr>
        <w:t>B</w:t>
      </w:r>
      <w:r w:rsidR="00F42E5E" w:rsidRPr="00241937">
        <w:rPr>
          <w:rStyle w:val="st"/>
          <w:vertAlign w:val="subscript"/>
        </w:rPr>
        <w:t>sw</w:t>
      </w:r>
      <w:r w:rsidR="00F42E5E">
        <w:rPr>
          <w:rStyle w:val="st"/>
        </w:rPr>
        <w:t xml:space="preserve"> reconstructions</w:t>
      </w:r>
      <w:r w:rsidR="00F42E5E">
        <w:rPr>
          <w:rFonts w:ascii="Times New Roman" w:hAnsi="Times New Roman"/>
          <w:color w:val="1A1718"/>
          <w:lang w:val="en-US"/>
        </w:rPr>
        <w:t>.</w:t>
      </w:r>
    </w:p>
    <w:p w14:paraId="25884A78" w14:textId="1FAD7D51" w:rsidR="00723510" w:rsidRPr="00E5274D" w:rsidRDefault="00371E8C" w:rsidP="00723510">
      <w:pPr>
        <w:widowControl w:val="0"/>
        <w:autoSpaceDE w:val="0"/>
        <w:autoSpaceDN w:val="0"/>
        <w:adjustRightInd w:val="0"/>
        <w:spacing w:after="240"/>
        <w:rPr>
          <w:rFonts w:eastAsiaTheme="minorEastAsia" w:cs="Times"/>
          <w:lang w:val="en-US" w:eastAsia="ja-JP"/>
        </w:rPr>
      </w:pPr>
      <w:r>
        <w:rPr>
          <w:rStyle w:val="st"/>
        </w:rPr>
        <w:t>Our</w:t>
      </w:r>
      <w:r w:rsidR="00291381">
        <w:rPr>
          <w:rStyle w:val="st"/>
        </w:rPr>
        <w:t xml:space="preserve"> new </w:t>
      </w:r>
      <w:r w:rsidR="00291381" w:rsidRPr="00241937">
        <w:rPr>
          <w:rStyle w:val="st"/>
          <w:rFonts w:ascii="Times New Roman" w:hAnsi="Times New Roman"/>
        </w:rPr>
        <w:t>δ</w:t>
      </w:r>
      <w:r w:rsidR="00291381" w:rsidRPr="00241937">
        <w:rPr>
          <w:rStyle w:val="st"/>
          <w:vertAlign w:val="superscript"/>
        </w:rPr>
        <w:t>11</w:t>
      </w:r>
      <w:r w:rsidR="00291381" w:rsidRPr="00241937">
        <w:rPr>
          <w:rStyle w:val="st"/>
        </w:rPr>
        <w:t>B</w:t>
      </w:r>
      <w:r w:rsidR="00291381" w:rsidRPr="00241937">
        <w:rPr>
          <w:rStyle w:val="st"/>
          <w:vertAlign w:val="subscript"/>
        </w:rPr>
        <w:t>sw</w:t>
      </w:r>
      <w:r w:rsidR="00291381">
        <w:rPr>
          <w:rStyle w:val="st"/>
        </w:rPr>
        <w:t xml:space="preserve"> record</w:t>
      </w:r>
      <w:r w:rsidR="00291381" w:rsidDel="00043E44">
        <w:rPr>
          <w:rStyle w:val="st"/>
        </w:rPr>
        <w:t xml:space="preserve"> </w:t>
      </w:r>
      <w:r w:rsidR="00291381">
        <w:rPr>
          <w:rStyle w:val="st"/>
        </w:rPr>
        <w:t xml:space="preserve">falls within the broad uncertainty envelope of boron mass balance calculations of </w:t>
      </w:r>
      <w:r w:rsidR="00291381">
        <w:rPr>
          <w:rStyle w:val="st"/>
          <w:noProof/>
        </w:rPr>
        <w:t>Lemarchand et al. (200</w:t>
      </w:r>
      <w:r w:rsidR="00102A50">
        <w:rPr>
          <w:rStyle w:val="st"/>
          <w:noProof/>
        </w:rPr>
        <w:t>0</w:t>
      </w:r>
      <w:r w:rsidR="00291381">
        <w:rPr>
          <w:rStyle w:val="st"/>
          <w:noProof/>
        </w:rPr>
        <w:t>)</w:t>
      </w:r>
      <w:r w:rsidR="00291381">
        <w:rPr>
          <w:rStyle w:val="st"/>
        </w:rPr>
        <w:t>, but th</w:t>
      </w:r>
      <w:r w:rsidR="00A26BE4">
        <w:rPr>
          <w:rStyle w:val="st"/>
        </w:rPr>
        <w:t>ose</w:t>
      </w:r>
      <w:r w:rsidR="00291381">
        <w:rPr>
          <w:rStyle w:val="st"/>
        </w:rPr>
        <w:t xml:space="preserve"> modelled values do not show the same level of multi-million year variability of either Raitzsch and Hönisch (2013) or our new record, </w:t>
      </w:r>
      <w:r w:rsidR="00675CB7">
        <w:rPr>
          <w:rStyle w:val="st"/>
        </w:rPr>
        <w:t xml:space="preserve">therefore </w:t>
      </w:r>
      <w:r w:rsidR="00291381">
        <w:rPr>
          <w:rStyle w:val="st"/>
        </w:rPr>
        <w:t xml:space="preserve">suggesting that </w:t>
      </w:r>
      <w:r w:rsidR="002448BA">
        <w:rPr>
          <w:rStyle w:val="st"/>
        </w:rPr>
        <w:t xml:space="preserve">the model does not fully account for aspects of the </w:t>
      </w:r>
      <w:r w:rsidR="002448BA">
        <w:t>changes in the</w:t>
      </w:r>
      <w:r w:rsidR="002448BA" w:rsidRPr="00B31007">
        <w:t xml:space="preserve"> </w:t>
      </w:r>
      <w:r w:rsidR="002448BA">
        <w:t xml:space="preserve">ocean </w:t>
      </w:r>
      <w:r w:rsidR="002448BA" w:rsidRPr="00B31007">
        <w:t>inputs and outputs of boron</w:t>
      </w:r>
      <w:r w:rsidR="002448BA">
        <w:t xml:space="preserve"> through time on timescales less than ~10 million years. </w:t>
      </w:r>
    </w:p>
    <w:p w14:paraId="4AC6D4A7" w14:textId="0155CC1B" w:rsidR="00723510" w:rsidRDefault="00291381" w:rsidP="00723510">
      <w:r>
        <w:t xml:space="preserve">In line with the conclusions of previous studies </w:t>
      </w:r>
      <w:r>
        <w:rPr>
          <w:noProof/>
        </w:rPr>
        <w:t>(e.g., Raitzsch and Hönisch, 2013)</w:t>
      </w:r>
      <w:r>
        <w:t xml:space="preserve">, our data show that the </w:t>
      </w:r>
      <w:r>
        <w:rPr>
          <w:rFonts w:ascii="Times New Roman" w:hAnsi="Times New Roman"/>
        </w:rPr>
        <w:t>δ</w:t>
      </w:r>
      <w:r>
        <w:rPr>
          <w:vertAlign w:val="superscript"/>
        </w:rPr>
        <w:t>11</w:t>
      </w:r>
      <w:r>
        <w:t>B</w:t>
      </w:r>
      <w:r>
        <w:rPr>
          <w:vertAlign w:val="subscript"/>
        </w:rPr>
        <w:t>sw</w:t>
      </w:r>
      <w:r>
        <w:t xml:space="preserve"> signal in the fluid inclusions (Paris et al., 2010) is most likely a combination of the </w:t>
      </w:r>
      <w:r>
        <w:rPr>
          <w:rFonts w:ascii="Times New Roman" w:hAnsi="Times New Roman"/>
        </w:rPr>
        <w:t>δ</w:t>
      </w:r>
      <w:r>
        <w:rPr>
          <w:vertAlign w:val="superscript"/>
        </w:rPr>
        <w:t>11</w:t>
      </w:r>
      <w:r>
        <w:t>B</w:t>
      </w:r>
      <w:r>
        <w:rPr>
          <w:vertAlign w:val="subscript"/>
        </w:rPr>
        <w:t>sw</w:t>
      </w:r>
      <w:r>
        <w:t xml:space="preserve"> and</w:t>
      </w:r>
      <w:r w:rsidR="00534E1C">
        <w:t xml:space="preserve"> some other factor such as</w:t>
      </w:r>
      <w:r>
        <w:t xml:space="preserve"> a poorly constrained fractionation factor between the seawater and the halite. </w:t>
      </w:r>
      <w:r w:rsidR="00723510">
        <w:t>Brine-halite fractionation offsets of -20</w:t>
      </w:r>
      <w:r w:rsidR="00723510" w:rsidRPr="00E42684">
        <w:t>‰</w:t>
      </w:r>
      <w:r w:rsidR="00723510">
        <w:t xml:space="preserve"> to -30</w:t>
      </w:r>
      <w:r w:rsidR="00723510" w:rsidRPr="00E42684">
        <w:t>‰</w:t>
      </w:r>
      <w:r w:rsidR="00723510">
        <w:t xml:space="preserve"> and -5</w:t>
      </w:r>
      <w:r w:rsidR="00723510" w:rsidRPr="00E42684">
        <w:t>‰</w:t>
      </w:r>
      <w:r w:rsidR="00723510">
        <w:t xml:space="preserve"> are reported from laboratory and natural environments </w:t>
      </w:r>
      <w:r w:rsidR="00723510">
        <w:rPr>
          <w:noProof/>
        </w:rPr>
        <w:t>(Vengosh et al., 1992; Liu et al., 2000)</w:t>
      </w:r>
      <w:r w:rsidR="00723510">
        <w:t>. These fractionations and riverine input during basin isolation will drive the evaporite-hosted boron to low-</w:t>
      </w:r>
      <w:r w:rsidR="00723510">
        <w:rPr>
          <w:rFonts w:ascii="Times New Roman" w:hAnsi="Times New Roman"/>
        </w:rPr>
        <w:t>δ</w:t>
      </w:r>
      <w:r w:rsidR="00723510">
        <w:rPr>
          <w:vertAlign w:val="superscript"/>
        </w:rPr>
        <w:t>11</w:t>
      </w:r>
      <w:r w:rsidR="00723510">
        <w:t xml:space="preserve">B isotope values such that the fluid inclusion record likely provides a lower limit for the </w:t>
      </w:r>
      <w:r w:rsidR="00723510">
        <w:rPr>
          <w:rFonts w:ascii="Times New Roman" w:hAnsi="Times New Roman"/>
        </w:rPr>
        <w:t>δ</w:t>
      </w:r>
      <w:r w:rsidR="00723510">
        <w:rPr>
          <w:vertAlign w:val="superscript"/>
        </w:rPr>
        <w:t>11</w:t>
      </w:r>
      <w:r w:rsidR="00723510">
        <w:t>B</w:t>
      </w:r>
      <w:r w:rsidR="00723510">
        <w:rPr>
          <w:vertAlign w:val="subscript"/>
        </w:rPr>
        <w:t>sw</w:t>
      </w:r>
      <w:r w:rsidR="00723510">
        <w:t xml:space="preserve"> through time (i.e. </w:t>
      </w:r>
      <w:r w:rsidR="00723510">
        <w:rPr>
          <w:rFonts w:ascii="Times New Roman" w:hAnsi="Times New Roman"/>
        </w:rPr>
        <w:t>δ</w:t>
      </w:r>
      <w:r w:rsidR="00723510">
        <w:rPr>
          <w:vertAlign w:val="superscript"/>
        </w:rPr>
        <w:t>11</w:t>
      </w:r>
      <w:r w:rsidR="00723510">
        <w:t>B</w:t>
      </w:r>
      <w:r w:rsidR="00723510">
        <w:rPr>
          <w:vertAlign w:val="subscript"/>
        </w:rPr>
        <w:t>sw</w:t>
      </w:r>
      <w:r w:rsidR="00723510">
        <w:t xml:space="preserve"> is heavier than the halite fluid inclusions of </w:t>
      </w:r>
      <w:r w:rsidR="00723510">
        <w:rPr>
          <w:noProof/>
        </w:rPr>
        <w:t>Paris et al. (2010))</w:t>
      </w:r>
      <w:r w:rsidR="00723510">
        <w:t xml:space="preserve">.  </w:t>
      </w:r>
      <w:r w:rsidR="007526A1">
        <w:t>F</w:t>
      </w:r>
      <w:r w:rsidR="00723510">
        <w:t>or this</w:t>
      </w:r>
      <w:r w:rsidR="00DD09BA">
        <w:t xml:space="preserve"> halite</w:t>
      </w:r>
      <w:r w:rsidR="00723510">
        <w:t xml:space="preserve"> record to be interpreted directly as </w:t>
      </w:r>
      <w:r w:rsidR="00723510">
        <w:rPr>
          <w:rFonts w:ascii="Times New Roman" w:hAnsi="Times New Roman"/>
        </w:rPr>
        <w:t>δ</w:t>
      </w:r>
      <w:r w:rsidR="00723510">
        <w:rPr>
          <w:vertAlign w:val="superscript"/>
        </w:rPr>
        <w:t>11</w:t>
      </w:r>
      <w:r w:rsidR="00723510">
        <w:t>B</w:t>
      </w:r>
      <w:r w:rsidR="00723510">
        <w:rPr>
          <w:vertAlign w:val="subscript"/>
        </w:rPr>
        <w:t>sw</w:t>
      </w:r>
      <w:r w:rsidR="00044441">
        <w:t xml:space="preserve">, </w:t>
      </w:r>
      <w:r w:rsidR="00723510">
        <w:t xml:space="preserve">a better understanding of the factor(s) controlling the fractionation during halite formation and any appropriate correction need to be better constrained. </w:t>
      </w:r>
    </w:p>
    <w:p w14:paraId="0EB8771B" w14:textId="52315CED" w:rsidR="00291381" w:rsidRDefault="00291381" w:rsidP="00291381">
      <w:r>
        <w:t xml:space="preserve"> </w:t>
      </w:r>
    </w:p>
    <w:p w14:paraId="3C92E7E5" w14:textId="287B387E" w:rsidR="00291381" w:rsidRDefault="00291381" w:rsidP="00FA27A7">
      <w:pPr>
        <w:pStyle w:val="Heading3"/>
        <w:numPr>
          <w:ilvl w:val="1"/>
          <w:numId w:val="29"/>
        </w:numPr>
        <w:rPr>
          <w:rStyle w:val="st"/>
          <w:rFonts w:cs="Times New Roman"/>
        </w:rPr>
      </w:pPr>
      <w:r>
        <w:rPr>
          <w:rStyle w:val="st"/>
          <w:rFonts w:cs="Times New Roman"/>
        </w:rPr>
        <w:t>Common controls on</w:t>
      </w:r>
      <w:r w:rsidRPr="00140F06">
        <w:rPr>
          <w:rStyle w:val="st"/>
          <w:rFonts w:cs="Times New Roman"/>
        </w:rPr>
        <w:t xml:space="preserve"> the</w:t>
      </w:r>
      <w:r>
        <w:rPr>
          <w:rStyle w:val="st"/>
          <w:rFonts w:cs="Times New Roman"/>
        </w:rPr>
        <w:t xml:space="preserve"> seawater</w:t>
      </w:r>
      <w:r w:rsidRPr="00140F06">
        <w:rPr>
          <w:rStyle w:val="st"/>
          <w:rFonts w:cs="Times New Roman"/>
        </w:rPr>
        <w:t xml:space="preserve"> isotopic ratio</w:t>
      </w:r>
      <w:r>
        <w:rPr>
          <w:rStyle w:val="st"/>
          <w:rFonts w:cs="Times New Roman"/>
        </w:rPr>
        <w:t>s</w:t>
      </w:r>
      <w:r w:rsidRPr="00140F06">
        <w:rPr>
          <w:rStyle w:val="st"/>
          <w:rFonts w:cs="Times New Roman"/>
        </w:rPr>
        <w:t xml:space="preserve"> of</w:t>
      </w:r>
      <w:r>
        <w:rPr>
          <w:rStyle w:val="st"/>
          <w:rFonts w:cs="Times New Roman"/>
        </w:rPr>
        <w:t xml:space="preserve"> B,</w:t>
      </w:r>
      <w:r w:rsidRPr="00140F06">
        <w:rPr>
          <w:rStyle w:val="st"/>
          <w:rFonts w:cs="Times New Roman"/>
        </w:rPr>
        <w:t xml:space="preserve"> Mg, Ca</w:t>
      </w:r>
      <w:r>
        <w:rPr>
          <w:rStyle w:val="st"/>
          <w:rFonts w:cs="Times New Roman"/>
        </w:rPr>
        <w:t xml:space="preserve"> and Li</w:t>
      </w:r>
    </w:p>
    <w:bookmarkEnd w:id="13"/>
    <w:p w14:paraId="0BFE8932" w14:textId="65DCDE1C" w:rsidR="00070F16" w:rsidRPr="008246D5" w:rsidRDefault="00070F16" w:rsidP="00070F16">
      <w:r>
        <w:t>O</w:t>
      </w:r>
      <w:r w:rsidR="00961950">
        <w:t>ur</w:t>
      </w:r>
      <w:r w:rsidR="00961950" w:rsidRPr="0095368F">
        <w:t xml:space="preserve"> </w:t>
      </w:r>
      <w:r w:rsidR="00961950">
        <w:t xml:space="preserve">new </w:t>
      </w:r>
      <w:r w:rsidR="00961950" w:rsidRPr="0095368F">
        <w:t xml:space="preserve">record of </w:t>
      </w:r>
      <w:r w:rsidR="00961950" w:rsidRPr="0095368F">
        <w:rPr>
          <w:rFonts w:ascii="Times New Roman" w:hAnsi="Times New Roman"/>
        </w:rPr>
        <w:t>δ</w:t>
      </w:r>
      <w:r w:rsidR="00961950" w:rsidRPr="0095368F">
        <w:rPr>
          <w:vertAlign w:val="superscript"/>
        </w:rPr>
        <w:t>11</w:t>
      </w:r>
      <w:r w:rsidR="00961950" w:rsidRPr="0095368F">
        <w:t>B</w:t>
      </w:r>
      <w:r w:rsidR="00961950" w:rsidRPr="0095368F">
        <w:rPr>
          <w:vertAlign w:val="subscript"/>
        </w:rPr>
        <w:t>sw</w:t>
      </w:r>
      <w:r w:rsidR="00961950" w:rsidRPr="0095368F">
        <w:t xml:space="preserve"> </w:t>
      </w:r>
      <w:r>
        <w:t xml:space="preserve">has </w:t>
      </w:r>
      <w:r w:rsidR="00A26BE4">
        <w:t>some</w:t>
      </w:r>
      <w:r w:rsidR="00044441">
        <w:t xml:space="preserve"> substantial</w:t>
      </w:r>
      <w:r w:rsidR="00A26BE4">
        <w:t xml:space="preserve"> </w:t>
      </w:r>
      <w:r>
        <w:t>similarities to</w:t>
      </w:r>
      <w:r w:rsidR="00961950">
        <w:t xml:space="preserve"> secular change</w:t>
      </w:r>
      <w:r w:rsidR="00961950" w:rsidRPr="0095368F">
        <w:t xml:space="preserve"> </w:t>
      </w:r>
      <w:r w:rsidR="00961950">
        <w:t xml:space="preserve">seen in other marine </w:t>
      </w:r>
      <w:r>
        <w:t xml:space="preserve">stable </w:t>
      </w:r>
      <w:r w:rsidR="00961950" w:rsidRPr="0095368F">
        <w:t xml:space="preserve">isotope </w:t>
      </w:r>
      <w:r w:rsidR="00677748">
        <w:t xml:space="preserve">records (Fig. </w:t>
      </w:r>
      <w:r w:rsidR="00961950">
        <w:t>1</w:t>
      </w:r>
      <w:r w:rsidR="00876B1F">
        <w:t>2</w:t>
      </w:r>
      <w:r w:rsidR="00961950">
        <w:t>)</w:t>
      </w:r>
      <w:r w:rsidR="00961950" w:rsidRPr="0095368F">
        <w:t xml:space="preserve">. The </w:t>
      </w:r>
      <w:r w:rsidR="00DD09BA">
        <w:t>lithium isotopic composition of seawater (</w:t>
      </w:r>
      <w:r w:rsidR="00961950" w:rsidRPr="0095368F">
        <w:sym w:font="Symbol" w:char="0064"/>
      </w:r>
      <w:r w:rsidR="00961950" w:rsidRPr="0095368F">
        <w:rPr>
          <w:vertAlign w:val="superscript"/>
        </w:rPr>
        <w:t>7</w:t>
      </w:r>
      <w:r w:rsidR="00961950" w:rsidRPr="0095368F">
        <w:t>Li</w:t>
      </w:r>
      <w:r w:rsidR="00961950" w:rsidRPr="0095368F">
        <w:rPr>
          <w:vertAlign w:val="subscript"/>
        </w:rPr>
        <w:t>sw</w:t>
      </w:r>
      <w:r w:rsidR="00DD09BA">
        <w:rPr>
          <w:noProof/>
        </w:rPr>
        <w:t xml:space="preserve">; </w:t>
      </w:r>
      <w:r w:rsidR="00961950" w:rsidRPr="004E75D6">
        <w:rPr>
          <w:noProof/>
        </w:rPr>
        <w:t>Misra and Froelich, 2012)</w:t>
      </w:r>
      <w:r w:rsidR="00961950">
        <w:t xml:space="preserve"> </w:t>
      </w:r>
      <w:r w:rsidR="00961950" w:rsidRPr="0095368F">
        <w:t>and</w:t>
      </w:r>
      <w:r w:rsidR="00DD09BA">
        <w:t xml:space="preserve"> the calcium isotopic composition of seawater</w:t>
      </w:r>
      <w:r w:rsidR="00961950" w:rsidRPr="0095368F">
        <w:t xml:space="preserve"> </w:t>
      </w:r>
      <w:r w:rsidR="008207DD">
        <w:t xml:space="preserve">as recorded in marine barites </w:t>
      </w:r>
      <w:r w:rsidR="00DD09BA">
        <w:t>(</w:t>
      </w:r>
      <w:r w:rsidR="00961950" w:rsidRPr="0095368F">
        <w:sym w:font="Symbol" w:char="0064"/>
      </w:r>
      <w:r w:rsidR="00961950" w:rsidRPr="0095368F">
        <w:rPr>
          <w:vertAlign w:val="superscript"/>
        </w:rPr>
        <w:t>44/40</w:t>
      </w:r>
      <w:r w:rsidR="00961950" w:rsidRPr="0095368F">
        <w:t>Ca</w:t>
      </w:r>
      <w:r w:rsidR="00961950" w:rsidRPr="0095368F">
        <w:rPr>
          <w:vertAlign w:val="subscript"/>
        </w:rPr>
        <w:t>sw</w:t>
      </w:r>
      <w:r w:rsidR="00DD09BA">
        <w:rPr>
          <w:noProof/>
        </w:rPr>
        <w:t>;</w:t>
      </w:r>
      <w:r w:rsidR="00961950">
        <w:rPr>
          <w:noProof/>
        </w:rPr>
        <w:t>Griffith et al., 2008)</w:t>
      </w:r>
      <w:r w:rsidR="00961950">
        <w:t xml:space="preserve"> </w:t>
      </w:r>
      <w:r w:rsidR="00961950" w:rsidRPr="0095368F">
        <w:t xml:space="preserve">both </w:t>
      </w:r>
      <w:r w:rsidR="00961950">
        <w:t>increase</w:t>
      </w:r>
      <w:r w:rsidR="00961950" w:rsidRPr="0095368F">
        <w:t xml:space="preserve"> through the Neogene, whereas</w:t>
      </w:r>
      <w:r w:rsidR="00DD09BA">
        <w:t xml:space="preserve"> the magnesium isotopic composition of seawater</w:t>
      </w:r>
      <w:r w:rsidR="00961950" w:rsidRPr="0095368F">
        <w:t xml:space="preserve"> </w:t>
      </w:r>
      <w:r w:rsidR="00DD09BA">
        <w:t>(</w:t>
      </w:r>
      <w:r w:rsidR="00961950" w:rsidRPr="0095368F">
        <w:sym w:font="Symbol" w:char="0064"/>
      </w:r>
      <w:r w:rsidR="00961950" w:rsidRPr="0095368F">
        <w:rPr>
          <w:vertAlign w:val="superscript"/>
        </w:rPr>
        <w:t>26</w:t>
      </w:r>
      <w:r w:rsidR="00961950" w:rsidRPr="0095368F">
        <w:t>Mg</w:t>
      </w:r>
      <w:r w:rsidR="00961950" w:rsidRPr="0095368F">
        <w:rPr>
          <w:vertAlign w:val="subscript"/>
        </w:rPr>
        <w:t>sw</w:t>
      </w:r>
      <w:r w:rsidR="00DD09BA">
        <w:t>)</w:t>
      </w:r>
      <w:r w:rsidR="00961950" w:rsidRPr="0095368F">
        <w:t xml:space="preserve"> </w:t>
      </w:r>
      <w:r w:rsidR="00961950">
        <w:t xml:space="preserve">decreases </w:t>
      </w:r>
      <w:r w:rsidR="00961950">
        <w:rPr>
          <w:noProof/>
        </w:rPr>
        <w:t>(Pogge von Strandmann et al., 2014)</w:t>
      </w:r>
      <w:r w:rsidR="00961950">
        <w:t xml:space="preserve"> suggesting a similar control on the isotopic composition of all four elements ac</w:t>
      </w:r>
      <w:r w:rsidR="00677748">
        <w:t xml:space="preserve">ross this time interval (Fig. </w:t>
      </w:r>
      <w:r w:rsidR="00961950">
        <w:t>1</w:t>
      </w:r>
      <w:r w:rsidR="00876B1F">
        <w:t>2</w:t>
      </w:r>
      <w:r w:rsidR="00961950">
        <w:t>).</w:t>
      </w:r>
      <w:r w:rsidR="008207DD">
        <w:t xml:space="preserve"> </w:t>
      </w:r>
      <w:r w:rsidR="00961950">
        <w:t xml:space="preserve"> </w:t>
      </w:r>
      <w:r w:rsidR="00A96B8A">
        <w:t xml:space="preserve">To further evaluate the correlation between these other marine isotope records and </w:t>
      </w:r>
      <w:r w:rsidR="00A96B8A" w:rsidRPr="00D20154">
        <w:rPr>
          <w:color w:val="000000"/>
          <w:szCs w:val="18"/>
        </w:rPr>
        <w:t>δ</w:t>
      </w:r>
      <w:r w:rsidR="00A96B8A" w:rsidRPr="00980136">
        <w:rPr>
          <w:color w:val="000000"/>
          <w:szCs w:val="12"/>
          <w:vertAlign w:val="superscript"/>
        </w:rPr>
        <w:t>11</w:t>
      </w:r>
      <w:r w:rsidR="00A96B8A" w:rsidRPr="00D20154">
        <w:rPr>
          <w:color w:val="000000"/>
          <w:szCs w:val="18"/>
        </w:rPr>
        <w:t>B</w:t>
      </w:r>
      <w:r w:rsidR="00A96B8A">
        <w:rPr>
          <w:color w:val="000000"/>
          <w:szCs w:val="18"/>
          <w:vertAlign w:val="subscript"/>
        </w:rPr>
        <w:t>sw</w:t>
      </w:r>
      <w:r w:rsidR="00A96B8A">
        <w:rPr>
          <w:color w:val="000000"/>
          <w:szCs w:val="18"/>
        </w:rPr>
        <w:t xml:space="preserve">, </w:t>
      </w:r>
      <w:bookmarkStart w:id="14" w:name="_Toc287775659"/>
      <w:r>
        <w:rPr>
          <w:color w:val="000000"/>
          <w:szCs w:val="18"/>
        </w:rPr>
        <w:t>we interpolate and cross</w:t>
      </w:r>
      <w:r w:rsidR="005C7856">
        <w:rPr>
          <w:color w:val="000000"/>
          <w:szCs w:val="18"/>
        </w:rPr>
        <w:t>-</w:t>
      </w:r>
      <w:r>
        <w:rPr>
          <w:color w:val="000000"/>
          <w:szCs w:val="18"/>
        </w:rPr>
        <w:t xml:space="preserve">plot </w:t>
      </w:r>
      <w:r w:rsidRPr="00D20154">
        <w:rPr>
          <w:color w:val="000000"/>
          <w:szCs w:val="18"/>
        </w:rPr>
        <w:t>δ</w:t>
      </w:r>
      <w:r w:rsidRPr="00980136">
        <w:rPr>
          <w:color w:val="000000"/>
          <w:szCs w:val="12"/>
          <w:vertAlign w:val="superscript"/>
        </w:rPr>
        <w:t>11</w:t>
      </w:r>
      <w:r w:rsidRPr="00D20154">
        <w:rPr>
          <w:color w:val="000000"/>
          <w:szCs w:val="18"/>
        </w:rPr>
        <w:t>B</w:t>
      </w:r>
      <w:r>
        <w:rPr>
          <w:color w:val="000000"/>
          <w:szCs w:val="18"/>
          <w:vertAlign w:val="subscript"/>
        </w:rPr>
        <w:t>sw</w:t>
      </w:r>
      <w:r>
        <w:rPr>
          <w:color w:val="000000"/>
          <w:szCs w:val="18"/>
        </w:rPr>
        <w:t xml:space="preserve"> and the </w:t>
      </w:r>
      <w:r w:rsidRPr="0095368F">
        <w:sym w:font="Symbol" w:char="0064"/>
      </w:r>
      <w:r w:rsidRPr="0095368F">
        <w:rPr>
          <w:vertAlign w:val="superscript"/>
        </w:rPr>
        <w:t>7</w:t>
      </w:r>
      <w:r w:rsidRPr="0095368F">
        <w:t>Li</w:t>
      </w:r>
      <w:r>
        <w:rPr>
          <w:vertAlign w:val="subscript"/>
        </w:rPr>
        <w:t>sw</w:t>
      </w:r>
      <w:r>
        <w:t xml:space="preserve">, </w:t>
      </w:r>
      <w:r w:rsidRPr="0095368F">
        <w:sym w:font="Symbol" w:char="0064"/>
      </w:r>
      <w:r w:rsidRPr="0095368F">
        <w:rPr>
          <w:vertAlign w:val="superscript"/>
        </w:rPr>
        <w:t>44/40</w:t>
      </w:r>
      <w:r w:rsidRPr="0095368F">
        <w:t>Ca</w:t>
      </w:r>
      <w:r w:rsidRPr="0095368F">
        <w:rPr>
          <w:vertAlign w:val="subscript"/>
        </w:rPr>
        <w:t>sw</w:t>
      </w:r>
      <w:r>
        <w:t xml:space="preserve"> and </w:t>
      </w:r>
      <w:r w:rsidRPr="0095368F">
        <w:sym w:font="Symbol" w:char="0064"/>
      </w:r>
      <w:r w:rsidRPr="0095368F">
        <w:rPr>
          <w:vertAlign w:val="superscript"/>
        </w:rPr>
        <w:t>26</w:t>
      </w:r>
      <w:r w:rsidRPr="0095368F">
        <w:t>Mg</w:t>
      </w:r>
      <w:r w:rsidRPr="0095368F">
        <w:rPr>
          <w:vertAlign w:val="subscript"/>
        </w:rPr>
        <w:t>sw</w:t>
      </w:r>
      <w:r w:rsidRPr="0095368F">
        <w:t xml:space="preserve"> </w:t>
      </w:r>
      <w:r>
        <w:t>records. This analysis suggest</w:t>
      </w:r>
      <w:r w:rsidR="00E17DFE">
        <w:t>s</w:t>
      </w:r>
      <w:r>
        <w:t xml:space="preserve"> that the isotopic composition of </w:t>
      </w:r>
      <w:r w:rsidRPr="008246D5">
        <w:rPr>
          <w:rFonts w:ascii="Times New Roman" w:hAnsi="Times New Roman"/>
        </w:rPr>
        <w:t>δ</w:t>
      </w:r>
      <w:r w:rsidRPr="008246D5">
        <w:rPr>
          <w:vertAlign w:val="superscript"/>
        </w:rPr>
        <w:t>11</w:t>
      </w:r>
      <w:r w:rsidRPr="008246D5">
        <w:t>B</w:t>
      </w:r>
      <w:r w:rsidRPr="008246D5">
        <w:rPr>
          <w:vertAlign w:val="subscript"/>
        </w:rPr>
        <w:t>sw</w:t>
      </w:r>
      <w:r>
        <w:t xml:space="preserve">, </w:t>
      </w:r>
      <w:r w:rsidRPr="0095368F">
        <w:sym w:font="Symbol" w:char="0064"/>
      </w:r>
      <w:r w:rsidRPr="0095368F">
        <w:rPr>
          <w:vertAlign w:val="superscript"/>
        </w:rPr>
        <w:t>7</w:t>
      </w:r>
      <w:r w:rsidRPr="0095368F">
        <w:t>Li</w:t>
      </w:r>
      <w:r w:rsidRPr="0095368F">
        <w:rPr>
          <w:vertAlign w:val="subscript"/>
        </w:rPr>
        <w:t>sw</w:t>
      </w:r>
      <w:r>
        <w:t xml:space="preserve">, </w:t>
      </w:r>
      <w:r w:rsidRPr="0095368F">
        <w:sym w:font="Symbol" w:char="0064"/>
      </w:r>
      <w:r w:rsidRPr="0095368F">
        <w:rPr>
          <w:vertAlign w:val="superscript"/>
        </w:rPr>
        <w:t>26</w:t>
      </w:r>
      <w:r w:rsidRPr="0095368F">
        <w:t>Mg</w:t>
      </w:r>
      <w:r w:rsidRPr="0095368F">
        <w:rPr>
          <w:vertAlign w:val="subscript"/>
        </w:rPr>
        <w:t>sw</w:t>
      </w:r>
      <w:r>
        <w:t xml:space="preserve"> and </w:t>
      </w:r>
      <w:r w:rsidRPr="0095368F">
        <w:sym w:font="Symbol" w:char="0064"/>
      </w:r>
      <w:r w:rsidRPr="0095368F">
        <w:rPr>
          <w:vertAlign w:val="superscript"/>
        </w:rPr>
        <w:t>44/40</w:t>
      </w:r>
      <w:r w:rsidRPr="0095368F">
        <w:t>Ca</w:t>
      </w:r>
      <w:r w:rsidRPr="0095368F">
        <w:rPr>
          <w:vertAlign w:val="subscript"/>
        </w:rPr>
        <w:t>sw</w:t>
      </w:r>
      <w:r>
        <w:t xml:space="preserve"> are well correlated through the </w:t>
      </w:r>
      <w:r w:rsidR="00291381">
        <w:t>Neogene</w:t>
      </w:r>
      <w:r>
        <w:t>, although there is some scatter in th</w:t>
      </w:r>
      <w:r w:rsidR="00534E1C">
        <w:t>ese</w:t>
      </w:r>
      <w:r>
        <w:t xml:space="preserve"> relationship</w:t>
      </w:r>
      <w:r w:rsidR="00534E1C">
        <w:t>s</w:t>
      </w:r>
      <w:r>
        <w:t xml:space="preserve"> (Fig. 1</w:t>
      </w:r>
      <w:r w:rsidR="00876B1F">
        <w:t>3</w:t>
      </w:r>
      <w:r>
        <w:t xml:space="preserve">). </w:t>
      </w:r>
      <w:r w:rsidR="005C7856">
        <w:t xml:space="preserve">Although the Sr isotope record shows a similar increase during the </w:t>
      </w:r>
      <w:r w:rsidR="005C7856" w:rsidRPr="00C26426">
        <w:t>Neogene</w:t>
      </w:r>
      <w:r w:rsidR="00EF27D9" w:rsidRPr="00C26426">
        <w:t xml:space="preserve"> (Hodell et al., </w:t>
      </w:r>
      <w:r w:rsidR="00C26426" w:rsidRPr="00C26426">
        <w:t>199</w:t>
      </w:r>
      <w:r w:rsidR="00EF27D9" w:rsidRPr="00C26426">
        <w:t>1)</w:t>
      </w:r>
      <w:r w:rsidR="005C7856" w:rsidRPr="00C26426">
        <w:t>,</w:t>
      </w:r>
      <w:r w:rsidR="005C7856">
        <w:t xml:space="preserve"> we focus our discussion on</w:t>
      </w:r>
      <w:r w:rsidR="00EF27D9">
        <w:t xml:space="preserve"> </w:t>
      </w:r>
      <w:r w:rsidR="008A1B96" w:rsidRPr="008246D5">
        <w:rPr>
          <w:rFonts w:ascii="Times New Roman" w:hAnsi="Times New Roman"/>
        </w:rPr>
        <w:t>δ</w:t>
      </w:r>
      <w:r w:rsidR="008A1B96" w:rsidRPr="008246D5">
        <w:rPr>
          <w:vertAlign w:val="superscript"/>
        </w:rPr>
        <w:t>11</w:t>
      </w:r>
      <w:r w:rsidR="008A1B96" w:rsidRPr="008246D5">
        <w:t>B</w:t>
      </w:r>
      <w:r w:rsidR="008A1B96" w:rsidRPr="008246D5">
        <w:rPr>
          <w:vertAlign w:val="subscript"/>
        </w:rPr>
        <w:t>sw</w:t>
      </w:r>
      <w:r w:rsidR="008A1B96">
        <w:t xml:space="preserve">, </w:t>
      </w:r>
      <w:r w:rsidR="008A1B96" w:rsidRPr="0095368F">
        <w:sym w:font="Symbol" w:char="0064"/>
      </w:r>
      <w:r w:rsidR="008A1B96" w:rsidRPr="0095368F">
        <w:rPr>
          <w:vertAlign w:val="superscript"/>
        </w:rPr>
        <w:t>7</w:t>
      </w:r>
      <w:r w:rsidR="008A1B96" w:rsidRPr="0095368F">
        <w:t>Li</w:t>
      </w:r>
      <w:r w:rsidR="008A1B96" w:rsidRPr="0095368F">
        <w:rPr>
          <w:vertAlign w:val="subscript"/>
        </w:rPr>
        <w:t>sw</w:t>
      </w:r>
      <w:r w:rsidR="008A1B96">
        <w:t xml:space="preserve">, </w:t>
      </w:r>
      <w:r w:rsidR="008A1B96" w:rsidRPr="0095368F">
        <w:sym w:font="Symbol" w:char="0064"/>
      </w:r>
      <w:r w:rsidR="008A1B96" w:rsidRPr="0095368F">
        <w:rPr>
          <w:vertAlign w:val="superscript"/>
        </w:rPr>
        <w:t>26</w:t>
      </w:r>
      <w:r w:rsidR="008A1B96" w:rsidRPr="0095368F">
        <w:t>Mg</w:t>
      </w:r>
      <w:r w:rsidR="008A1B96" w:rsidRPr="0095368F">
        <w:rPr>
          <w:vertAlign w:val="subscript"/>
        </w:rPr>
        <w:t>sw</w:t>
      </w:r>
      <w:r w:rsidR="008A1B96">
        <w:t xml:space="preserve"> and </w:t>
      </w:r>
      <w:r w:rsidR="008A1B96" w:rsidRPr="0095368F">
        <w:sym w:font="Symbol" w:char="0064"/>
      </w:r>
      <w:r w:rsidR="008A1B96" w:rsidRPr="0095368F">
        <w:rPr>
          <w:vertAlign w:val="superscript"/>
        </w:rPr>
        <w:t>44/40</w:t>
      </w:r>
      <w:r w:rsidR="008A1B96" w:rsidRPr="0095368F">
        <w:t>Ca</w:t>
      </w:r>
      <w:r w:rsidR="008A1B96" w:rsidRPr="0095368F">
        <w:rPr>
          <w:vertAlign w:val="subscript"/>
        </w:rPr>
        <w:t>sw</w:t>
      </w:r>
      <w:r w:rsidR="00EF27D9">
        <w:t xml:space="preserve"> </w:t>
      </w:r>
      <w:r w:rsidR="008A1B96">
        <w:t xml:space="preserve">given that the </w:t>
      </w:r>
      <w:r w:rsidR="00EF27D9">
        <w:t>factors fractionating the</w:t>
      </w:r>
      <w:r w:rsidR="008A1B96">
        <w:t>se</w:t>
      </w:r>
      <w:r w:rsidR="005C7856">
        <w:t xml:space="preserve"> </w:t>
      </w:r>
      <w:r w:rsidR="00DD09BA">
        <w:t xml:space="preserve">stable </w:t>
      </w:r>
      <w:r w:rsidR="00EF27D9">
        <w:t>isotop</w:t>
      </w:r>
      <w:r w:rsidR="00DD09BA">
        <w:t>ic</w:t>
      </w:r>
      <w:r w:rsidR="00EF27D9">
        <w:t xml:space="preserve"> systems</w:t>
      </w:r>
      <w:r w:rsidR="008A1B96">
        <w:t xml:space="preserve"> are similar (see below)</w:t>
      </w:r>
      <w:r w:rsidR="00EF27D9">
        <w:t xml:space="preserve">. </w:t>
      </w:r>
      <w:r w:rsidR="005C7856">
        <w:t xml:space="preserve"> </w:t>
      </w:r>
    </w:p>
    <w:bookmarkEnd w:id="14"/>
    <w:p w14:paraId="55329B87" w14:textId="5383E613" w:rsidR="00961950" w:rsidRDefault="00961950" w:rsidP="00961950">
      <w:r>
        <w:t xml:space="preserve">To better constrain the controls on </w:t>
      </w:r>
      <w:r w:rsidRPr="008B0470">
        <w:rPr>
          <w:rFonts w:ascii="Times New Roman" w:hAnsi="Times New Roman"/>
        </w:rPr>
        <w:t>δ</w:t>
      </w:r>
      <w:r w:rsidRPr="008B0470">
        <w:rPr>
          <w:vertAlign w:val="superscript"/>
        </w:rPr>
        <w:t>11</w:t>
      </w:r>
      <w:r w:rsidRPr="008B0470">
        <w:t>B</w:t>
      </w:r>
      <w:r w:rsidRPr="008B0470">
        <w:rPr>
          <w:vertAlign w:val="subscript"/>
        </w:rPr>
        <w:t>sw</w:t>
      </w:r>
      <w:r>
        <w:t xml:space="preserve">, </w:t>
      </w:r>
      <w:r w:rsidRPr="0095368F">
        <w:sym w:font="Symbol" w:char="0064"/>
      </w:r>
      <w:r w:rsidRPr="0095368F">
        <w:rPr>
          <w:vertAlign w:val="superscript"/>
        </w:rPr>
        <w:t>7</w:t>
      </w:r>
      <w:r w:rsidRPr="0095368F">
        <w:t>Li</w:t>
      </w:r>
      <w:r w:rsidRPr="0095368F">
        <w:rPr>
          <w:vertAlign w:val="subscript"/>
        </w:rPr>
        <w:t>sw</w:t>
      </w:r>
      <w:r>
        <w:t xml:space="preserve">, </w:t>
      </w:r>
      <w:r w:rsidRPr="0095368F">
        <w:sym w:font="Symbol" w:char="0064"/>
      </w:r>
      <w:r w:rsidRPr="0095368F">
        <w:rPr>
          <w:vertAlign w:val="superscript"/>
        </w:rPr>
        <w:t>26</w:t>
      </w:r>
      <w:r w:rsidRPr="0095368F">
        <w:t>Mg</w:t>
      </w:r>
      <w:r w:rsidRPr="0095368F">
        <w:rPr>
          <w:vertAlign w:val="subscript"/>
        </w:rPr>
        <w:t xml:space="preserve">sw </w:t>
      </w:r>
      <w:r w:rsidRPr="0095368F">
        <w:t xml:space="preserve">and </w:t>
      </w:r>
      <w:r w:rsidRPr="0095368F">
        <w:sym w:font="Symbol" w:char="0064"/>
      </w:r>
      <w:r w:rsidRPr="0095368F">
        <w:rPr>
          <w:vertAlign w:val="superscript"/>
        </w:rPr>
        <w:t>44/40</w:t>
      </w:r>
      <w:r w:rsidRPr="0095368F">
        <w:t>Ca</w:t>
      </w:r>
      <w:r w:rsidRPr="0095368F">
        <w:rPr>
          <w:vertAlign w:val="subscript"/>
        </w:rPr>
        <w:t>sw</w:t>
      </w:r>
      <w:r>
        <w:t xml:space="preserve"> it is instructive to compare the size and isotopic composition of the fluxes of boron, lithium, calcium and magnesium</w:t>
      </w:r>
      <w:r w:rsidR="00DD09BA">
        <w:t xml:space="preserve"> to the ocean</w:t>
      </w:r>
      <w:r>
        <w:t xml:space="preserve"> (Table </w:t>
      </w:r>
      <w:r w:rsidR="00550F2D">
        <w:t>3</w:t>
      </w:r>
      <w:r>
        <w:t xml:space="preserve">). </w:t>
      </w:r>
      <w:r w:rsidR="003B4216">
        <w:t>T</w:t>
      </w:r>
      <w:r>
        <w:t xml:space="preserve">he major flux of boron into the ocean is via riverine input </w:t>
      </w:r>
      <w:r w:rsidR="00747895">
        <w:rPr>
          <w:noProof/>
        </w:rPr>
        <w:t>(Lemarchand et al., 200</w:t>
      </w:r>
      <w:r w:rsidR="00102A50">
        <w:rPr>
          <w:noProof/>
        </w:rPr>
        <w:t>0</w:t>
      </w:r>
      <w:r>
        <w:rPr>
          <w:noProof/>
        </w:rPr>
        <w:t>)</w:t>
      </w:r>
      <w:r>
        <w:t xml:space="preserve">, although some studies suggest that atmospheric input may also play an important role </w:t>
      </w:r>
      <w:r>
        <w:rPr>
          <w:noProof/>
        </w:rPr>
        <w:t>(Park and Schlesinger, 2002)</w:t>
      </w:r>
      <w:r>
        <w:t xml:space="preserve">. The </w:t>
      </w:r>
      <w:r w:rsidR="00044441">
        <w:t xml:space="preserve">loss terms </w:t>
      </w:r>
      <w:r>
        <w:t>are dominated by a</w:t>
      </w:r>
      <w:r w:rsidR="00EF27D9">
        <w:t>d</w:t>
      </w:r>
      <w:r>
        <w:t xml:space="preserve">sorption onto clays and the alteration of oceanic </w:t>
      </w:r>
      <w:r w:rsidRPr="008C1822">
        <w:t>crust</w:t>
      </w:r>
      <w:r>
        <w:t xml:space="preserve"> </w:t>
      </w:r>
      <w:r>
        <w:rPr>
          <w:noProof/>
        </w:rPr>
        <w:t>(Spivack and Edmond, 1987; Smith et al., 1995)</w:t>
      </w:r>
      <w:r>
        <w:t>. Similar</w:t>
      </w:r>
      <w:r w:rsidR="003B4216">
        <w:t>ly,</w:t>
      </w:r>
      <w:r>
        <w:t xml:space="preserve"> the primary inputs of </w:t>
      </w:r>
      <w:r w:rsidR="00B062B3">
        <w:t>lithium</w:t>
      </w:r>
      <w:r>
        <w:t xml:space="preserve"> into the ocean come from hydrothermal sources and riverine input and the main outputs are ocean crust alteration and a</w:t>
      </w:r>
      <w:r w:rsidR="00EF27D9">
        <w:t>d</w:t>
      </w:r>
      <w:r>
        <w:t xml:space="preserve">sorption onto sediments </w:t>
      </w:r>
      <w:r>
        <w:rPr>
          <w:noProof/>
        </w:rPr>
        <w:t>(Misra and Froelich, 2012)</w:t>
      </w:r>
      <w:r>
        <w:t>. The</w:t>
      </w:r>
      <w:r w:rsidRPr="00CB5AB2">
        <w:t xml:space="preserve"> </w:t>
      </w:r>
      <w:r w:rsidR="00105156">
        <w:t>three</w:t>
      </w:r>
      <w:r w:rsidR="00105156" w:rsidRPr="00CB5AB2">
        <w:t xml:space="preserve"> </w:t>
      </w:r>
      <w:r w:rsidRPr="00CB5AB2">
        <w:t xml:space="preserve">dominant controls on </w:t>
      </w:r>
      <w:r>
        <w:t>magnesium</w:t>
      </w:r>
      <w:r w:rsidRPr="00CB5AB2">
        <w:t xml:space="preserve"> concentration and isotope </w:t>
      </w:r>
      <w:r>
        <w:t>ratio</w:t>
      </w:r>
      <w:r w:rsidRPr="00CB5AB2">
        <w:t xml:space="preserve"> in the </w:t>
      </w:r>
      <w:r>
        <w:t>oceans is the riverine input,</w:t>
      </w:r>
      <w:r w:rsidRPr="00CB5AB2">
        <w:t xml:space="preserve"> </w:t>
      </w:r>
      <w:r>
        <w:t>ocean crust alteration and dolomiti</w:t>
      </w:r>
      <w:r w:rsidR="00B062B3">
        <w:t>z</w:t>
      </w:r>
      <w:r>
        <w:t xml:space="preserve">ation (Table </w:t>
      </w:r>
      <w:r w:rsidR="00550F2D">
        <w:t>3</w:t>
      </w:r>
      <w:r>
        <w:t xml:space="preserve">) </w:t>
      </w:r>
      <w:r>
        <w:rPr>
          <w:noProof/>
        </w:rPr>
        <w:t>(Tipper et al., 2006b)</w:t>
      </w:r>
      <w:r w:rsidRPr="00CB5AB2">
        <w:t xml:space="preserve">. </w:t>
      </w:r>
      <w:r w:rsidRPr="004665DE">
        <w:t xml:space="preserve">The </w:t>
      </w:r>
      <w:r>
        <w:t>main controls on the amount of calcium</w:t>
      </w:r>
      <w:r w:rsidRPr="004665DE">
        <w:t xml:space="preserve"> in the modern ocean and its isotopic composition </w:t>
      </w:r>
      <w:r>
        <w:t xml:space="preserve">is </w:t>
      </w:r>
      <w:r w:rsidRPr="004665DE">
        <w:t>the balance between riverine and hydrothermal inputs and removal through</w:t>
      </w:r>
      <w:r>
        <w:t xml:space="preserve"> </w:t>
      </w:r>
      <w:r w:rsidRPr="004665DE">
        <w:t>CaCO</w:t>
      </w:r>
      <w:r w:rsidRPr="00C66FBC">
        <w:rPr>
          <w:vertAlign w:val="subscript"/>
        </w:rPr>
        <w:t>3</w:t>
      </w:r>
      <w:r w:rsidRPr="004665DE">
        <w:t xml:space="preserve"> deposition and alteration of oceanic crust </w:t>
      </w:r>
      <w:r>
        <w:rPr>
          <w:noProof/>
        </w:rPr>
        <w:t>(</w:t>
      </w:r>
      <w:r w:rsidR="002D0702">
        <w:rPr>
          <w:noProof/>
        </w:rPr>
        <w:t>Fantle and Tipper, 2014</w:t>
      </w:r>
      <w:r w:rsidR="00EE6940">
        <w:rPr>
          <w:noProof/>
        </w:rPr>
        <w:t>, Griffith et al., 2008</w:t>
      </w:r>
      <w:r>
        <w:rPr>
          <w:noProof/>
        </w:rPr>
        <w:t>)</w:t>
      </w:r>
      <w:r>
        <w:t>. Dolomiti</w:t>
      </w:r>
      <w:r w:rsidR="00B062B3">
        <w:t>z</w:t>
      </w:r>
      <w:r>
        <w:t xml:space="preserve">ation has also been cited as playing a potential role in controlling </w:t>
      </w:r>
      <w:r w:rsidRPr="0095368F">
        <w:sym w:font="Symbol" w:char="0064"/>
      </w:r>
      <w:r w:rsidRPr="0095368F">
        <w:rPr>
          <w:vertAlign w:val="superscript"/>
        </w:rPr>
        <w:t>44/40</w:t>
      </w:r>
      <w:r w:rsidRPr="0095368F">
        <w:t>Ca</w:t>
      </w:r>
      <w:r w:rsidRPr="0095368F">
        <w:rPr>
          <w:vertAlign w:val="subscript"/>
        </w:rPr>
        <w:t>sw</w:t>
      </w:r>
      <w:r>
        <w:t xml:space="preserve">, although the contribution of this process through time is poorly constrained </w:t>
      </w:r>
      <w:r>
        <w:rPr>
          <w:noProof/>
        </w:rPr>
        <w:t>(Griffith et al., 2008)</w:t>
      </w:r>
      <w:r>
        <w:t xml:space="preserve">. </w:t>
      </w:r>
    </w:p>
    <w:p w14:paraId="11856516" w14:textId="40E1E26C" w:rsidR="00961950" w:rsidRDefault="00A26BE4" w:rsidP="00961950">
      <w:pPr>
        <w:rPr>
          <w:color w:val="231F20"/>
          <w:lang w:val="en-US"/>
        </w:rPr>
      </w:pPr>
      <w:r>
        <w:t>Analysis of the oc</w:t>
      </w:r>
      <w:r w:rsidR="0044612D">
        <w:t>eanic fluxes of all four</w:t>
      </w:r>
      <w:r>
        <w:t xml:space="preserve"> </w:t>
      </w:r>
      <w:r w:rsidR="0044612D">
        <w:t xml:space="preserve">ions </w:t>
      </w:r>
      <w:r>
        <w:t>suggests that r</w:t>
      </w:r>
      <w:r w:rsidR="00961950">
        <w:t xml:space="preserve">iverine input may be an important factor </w:t>
      </w:r>
      <w:r w:rsidR="0044612D">
        <w:t>influencing the</w:t>
      </w:r>
      <w:r w:rsidR="00961950">
        <w:t xml:space="preserve"> changing isotopic composition of B, Li, Ca and Mg over the late Neogene (Table </w:t>
      </w:r>
      <w:r w:rsidR="00550F2D">
        <w:t>3</w:t>
      </w:r>
      <w:r w:rsidR="00961950">
        <w:t xml:space="preserve">). </w:t>
      </w:r>
      <w:r w:rsidR="00392CA3">
        <w:t xml:space="preserve">In the case of all four elements, </w:t>
      </w:r>
      <w:r w:rsidR="00424EDB">
        <w:t xml:space="preserve">a combination of the isotopic </w:t>
      </w:r>
      <w:r w:rsidR="00392CA3">
        <w:t>ratio</w:t>
      </w:r>
      <w:r w:rsidR="00424EDB">
        <w:t xml:space="preserve"> of the source rock and isotopic fractionation during weathering processes are</w:t>
      </w:r>
      <w:r w:rsidR="00392CA3">
        <w:t xml:space="preserve"> typically</w:t>
      </w:r>
      <w:r w:rsidR="00424EDB">
        <w:t xml:space="preserve"> </w:t>
      </w:r>
      <w:r w:rsidR="003B4216">
        <w:t xml:space="preserve">invoked </w:t>
      </w:r>
      <w:r w:rsidR="00424EDB">
        <w:t>to e</w:t>
      </w:r>
      <w:r w:rsidR="00392CA3">
        <w:t>xplain the isotopic composition of a particular</w:t>
      </w:r>
      <w:r w:rsidR="007526A1">
        <w:t xml:space="preserve"> </w:t>
      </w:r>
      <w:r w:rsidR="00392CA3">
        <w:t>river system</w:t>
      </w:r>
      <w:r w:rsidR="00961950">
        <w:t xml:space="preserve">. </w:t>
      </w:r>
      <w:r w:rsidR="00392CA3">
        <w:t>However, in most cases the isotopic composition of the source rock is found to be of secondary importance</w:t>
      </w:r>
      <w:r w:rsidR="00A96B8A">
        <w:t xml:space="preserve"> </w:t>
      </w:r>
      <w:r w:rsidR="00A96B8A" w:rsidRPr="0095368F">
        <w:rPr>
          <w:noProof/>
        </w:rPr>
        <w:t>(</w:t>
      </w:r>
      <w:r w:rsidR="00A96B8A">
        <w:rPr>
          <w:noProof/>
        </w:rPr>
        <w:t xml:space="preserve">Rose et al., 2000; </w:t>
      </w:r>
      <w:r w:rsidR="00A96B8A" w:rsidRPr="0095368F">
        <w:rPr>
          <w:noProof/>
        </w:rPr>
        <w:t>Kısak</w:t>
      </w:r>
      <w:r w:rsidR="00A96B8A" w:rsidRPr="0095368F">
        <w:rPr>
          <w:rFonts w:ascii="Times New Roman" w:hAnsi="Times New Roman"/>
          <w:noProof/>
        </w:rPr>
        <w:t>ű</w:t>
      </w:r>
      <w:r w:rsidR="00A96B8A" w:rsidRPr="0095368F">
        <w:rPr>
          <w:noProof/>
        </w:rPr>
        <w:t>rek et al., 2005;</w:t>
      </w:r>
      <w:r w:rsidR="00A96B8A">
        <w:rPr>
          <w:noProof/>
        </w:rPr>
        <w:t xml:space="preserve"> </w:t>
      </w:r>
      <w:r w:rsidR="00A96B8A">
        <w:rPr>
          <w:noProof/>
          <w:color w:val="231F20"/>
          <w:lang w:val="en-US"/>
        </w:rPr>
        <w:t>Tipper et al., 2006b;</w:t>
      </w:r>
      <w:r w:rsidR="00A96B8A" w:rsidRPr="0095368F">
        <w:rPr>
          <w:noProof/>
        </w:rPr>
        <w:t xml:space="preserve"> Millot et al., 2010)</w:t>
      </w:r>
      <w:r w:rsidR="00392CA3">
        <w:t>. For instance, t</w:t>
      </w:r>
      <w:r w:rsidR="00961950" w:rsidRPr="006F140F">
        <w:t xml:space="preserve">he </w:t>
      </w:r>
      <w:r w:rsidR="00961950" w:rsidRPr="006F140F">
        <w:rPr>
          <w:rFonts w:ascii="Times New Roman" w:hAnsi="Times New Roman"/>
        </w:rPr>
        <w:t>δ</w:t>
      </w:r>
      <w:r w:rsidR="00961950" w:rsidRPr="006F140F">
        <w:rPr>
          <w:vertAlign w:val="superscript"/>
        </w:rPr>
        <w:t>11</w:t>
      </w:r>
      <w:r w:rsidR="00961950" w:rsidRPr="006F140F">
        <w:t>B composition of rive</w:t>
      </w:r>
      <w:r w:rsidR="00961950">
        <w:t>rs is primarily dependent on</w:t>
      </w:r>
      <w:r w:rsidR="00961950" w:rsidRPr="006F140F">
        <w:t xml:space="preserve"> isotopic fractionation</w:t>
      </w:r>
      <w:r w:rsidR="00961950">
        <w:t xml:space="preserve"> </w:t>
      </w:r>
      <w:r w:rsidR="00961950" w:rsidRPr="006F140F">
        <w:rPr>
          <w:color w:val="231F20"/>
          <w:lang w:val="en-US"/>
        </w:rPr>
        <w:t>during the reaction of water with silicate rocks and to a lesser extent the isotopic composition of the source rock</w:t>
      </w:r>
      <w:r w:rsidR="00961950" w:rsidRPr="006F140F">
        <w:t xml:space="preserve"> </w:t>
      </w:r>
      <w:r w:rsidR="00961950">
        <w:t xml:space="preserve">(i.e. </w:t>
      </w:r>
      <w:r w:rsidR="00961950" w:rsidRPr="006F140F">
        <w:t>the proportion of evaporites and silicate rocks</w:t>
      </w:r>
      <w:r w:rsidR="00B062B3">
        <w:t xml:space="preserve">; </w:t>
      </w:r>
      <w:r w:rsidR="00961950" w:rsidRPr="006F140F">
        <w:rPr>
          <w:noProof/>
        </w:rPr>
        <w:t>Rose et al., 2000)</w:t>
      </w:r>
      <w:r w:rsidR="00961950" w:rsidRPr="006F140F">
        <w:t>.</w:t>
      </w:r>
      <w:r w:rsidR="009A2CB8" w:rsidRPr="009A2CB8">
        <w:rPr>
          <w:rFonts w:ascii="Times New Roman" w:hAnsi="Times New Roman"/>
          <w:color w:val="1A1718"/>
          <w:lang w:val="en-US"/>
        </w:rPr>
        <w:t xml:space="preserve"> </w:t>
      </w:r>
      <w:r w:rsidR="009A2CB8" w:rsidRPr="00A55BDF">
        <w:rPr>
          <w:rFonts w:ascii="Times New Roman" w:hAnsi="Times New Roman"/>
          <w:color w:val="1A1718"/>
          <w:lang w:val="en-US"/>
        </w:rPr>
        <w:t>While some studies have suggested that</w:t>
      </w:r>
      <w:r w:rsidR="0054458C">
        <w:rPr>
          <w:rFonts w:ascii="Times New Roman" w:hAnsi="Times New Roman"/>
          <w:color w:val="1A1718"/>
          <w:lang w:val="en-US"/>
        </w:rPr>
        <w:t xml:space="preserve"> the </w:t>
      </w:r>
      <w:r w:rsidR="0003389B">
        <w:rPr>
          <w:rFonts w:ascii="Times New Roman" w:hAnsi="Times New Roman"/>
          <w:color w:val="1A1718"/>
          <w:lang w:val="en-US"/>
        </w:rPr>
        <w:t xml:space="preserve">isotope </w:t>
      </w:r>
      <w:r w:rsidR="0054458C">
        <w:rPr>
          <w:rFonts w:ascii="Times New Roman" w:hAnsi="Times New Roman"/>
          <w:color w:val="1A1718"/>
          <w:lang w:val="en-US"/>
        </w:rPr>
        <w:t>composition of</w:t>
      </w:r>
      <w:r w:rsidR="009A2CB8" w:rsidRPr="00A55BDF">
        <w:rPr>
          <w:rFonts w:ascii="Times New Roman" w:hAnsi="Times New Roman"/>
          <w:color w:val="1A1718"/>
          <w:lang w:val="en-US"/>
        </w:rPr>
        <w:t xml:space="preserve"> </w:t>
      </w:r>
      <w:r w:rsidR="009A2CB8">
        <w:rPr>
          <w:rFonts w:ascii="Times New Roman" w:hAnsi="Times New Roman"/>
          <w:color w:val="1A1718"/>
          <w:lang w:val="en-US"/>
        </w:rPr>
        <w:t>rainfall</w:t>
      </w:r>
      <w:r w:rsidR="009A2CB8" w:rsidRPr="00A55BDF">
        <w:rPr>
          <w:rFonts w:ascii="Times New Roman" w:hAnsi="Times New Roman"/>
          <w:color w:val="1A1718"/>
          <w:lang w:val="en-US"/>
        </w:rPr>
        <w:t xml:space="preserve"> within the catchment area may be an important factor controlling the δ</w:t>
      </w:r>
      <w:r w:rsidR="009A2CB8" w:rsidRPr="00A55BDF">
        <w:rPr>
          <w:rFonts w:ascii="Times New Roman" w:hAnsi="Times New Roman"/>
          <w:color w:val="1A1718"/>
          <w:vertAlign w:val="superscript"/>
          <w:lang w:val="en-US"/>
        </w:rPr>
        <w:t>11</w:t>
      </w:r>
      <w:r w:rsidR="009A2CB8" w:rsidRPr="00A55BDF">
        <w:rPr>
          <w:rFonts w:ascii="Times New Roman" w:hAnsi="Times New Roman"/>
          <w:color w:val="1A1718"/>
          <w:lang w:val="en-US"/>
        </w:rPr>
        <w:t xml:space="preserve">B </w:t>
      </w:r>
      <w:r w:rsidR="009A2CB8">
        <w:rPr>
          <w:rFonts w:ascii="Times New Roman" w:hAnsi="Times New Roman"/>
          <w:color w:val="1A1718"/>
          <w:lang w:val="en-US"/>
        </w:rPr>
        <w:t>in</w:t>
      </w:r>
      <w:r w:rsidR="009A2CB8" w:rsidRPr="00A55BDF">
        <w:rPr>
          <w:rFonts w:ascii="Times New Roman" w:hAnsi="Times New Roman"/>
          <w:color w:val="1A1718"/>
          <w:lang w:val="en-US"/>
        </w:rPr>
        <w:t xml:space="preserve"> rivers </w:t>
      </w:r>
      <w:r w:rsidR="009A2CB8" w:rsidRPr="00A55BDF">
        <w:rPr>
          <w:rFonts w:ascii="Times New Roman" w:hAnsi="Times New Roman"/>
          <w:noProof/>
          <w:color w:val="1A1718"/>
          <w:lang w:val="en-US"/>
        </w:rPr>
        <w:t>(Rose-Koga et al., 2006)</w:t>
      </w:r>
      <w:r w:rsidR="009A2CB8" w:rsidRPr="00A55BDF">
        <w:rPr>
          <w:rFonts w:ascii="Times New Roman" w:hAnsi="Times New Roman"/>
          <w:color w:val="1A1718"/>
          <w:lang w:val="en-US"/>
        </w:rPr>
        <w:t xml:space="preserve">, other studies have shown atmospheric boron to be a secondary control on riverine boron isotope composition </w:t>
      </w:r>
      <w:r w:rsidR="009A2CB8" w:rsidRPr="00A55BDF">
        <w:rPr>
          <w:rFonts w:ascii="Times New Roman" w:hAnsi="Times New Roman"/>
          <w:noProof/>
          <w:color w:val="1A1718"/>
          <w:lang w:val="en-US"/>
        </w:rPr>
        <w:t>(Lemarchand and Gaillardet, 2006)</w:t>
      </w:r>
      <w:r w:rsidR="009A2CB8" w:rsidRPr="00A55BDF">
        <w:rPr>
          <w:rFonts w:ascii="Times New Roman" w:hAnsi="Times New Roman"/>
          <w:color w:val="1A1718"/>
          <w:lang w:val="en-US"/>
        </w:rPr>
        <w:t xml:space="preserve">. </w:t>
      </w:r>
      <w:r w:rsidR="00961950" w:rsidRPr="0095368F">
        <w:t xml:space="preserve"> </w:t>
      </w:r>
      <w:r w:rsidR="00961950">
        <w:t>T</w:t>
      </w:r>
      <w:r w:rsidR="00961950" w:rsidRPr="0095368F">
        <w:t>he source rock</w:t>
      </w:r>
      <w:r w:rsidR="00961950">
        <w:t xml:space="preserve"> also</w:t>
      </w:r>
      <w:r w:rsidR="00961950" w:rsidRPr="0095368F">
        <w:t xml:space="preserve"> appears to have limited influence on the </w:t>
      </w:r>
      <w:r w:rsidR="00961950" w:rsidRPr="0095368F">
        <w:sym w:font="Symbol" w:char="0064"/>
      </w:r>
      <w:r w:rsidR="00961950" w:rsidRPr="0095368F">
        <w:rPr>
          <w:vertAlign w:val="superscript"/>
        </w:rPr>
        <w:t>7</w:t>
      </w:r>
      <w:r w:rsidR="00961950" w:rsidRPr="0095368F">
        <w:t xml:space="preserve">Li composition of rivers and riverine </w:t>
      </w:r>
      <w:r w:rsidR="00961950" w:rsidRPr="00B062B3">
        <w:rPr>
          <w:rStyle w:val="Emphasis"/>
          <w:rFonts w:ascii="Times New Roman" w:hAnsi="Times New Roman"/>
          <w:i w:val="0"/>
        </w:rPr>
        <w:t>δ</w:t>
      </w:r>
      <w:r w:rsidR="00961950" w:rsidRPr="0095368F">
        <w:rPr>
          <w:vertAlign w:val="superscript"/>
        </w:rPr>
        <w:t>7</w:t>
      </w:r>
      <w:r w:rsidR="00961950" w:rsidRPr="0095368F">
        <w:t>Li varies</w:t>
      </w:r>
      <w:r w:rsidR="00392CA3">
        <w:t xml:space="preserve"> </w:t>
      </w:r>
      <w:r w:rsidR="00392CA3" w:rsidRPr="0095368F">
        <w:t>primarily</w:t>
      </w:r>
      <w:r w:rsidR="00961950" w:rsidRPr="0095368F">
        <w:t xml:space="preserve"> with weathering intensity </w:t>
      </w:r>
      <w:r w:rsidR="00961950" w:rsidRPr="0095368F">
        <w:rPr>
          <w:noProof/>
        </w:rPr>
        <w:t>(Kısak</w:t>
      </w:r>
      <w:r w:rsidR="00961950" w:rsidRPr="0095368F">
        <w:rPr>
          <w:rFonts w:ascii="Times New Roman" w:hAnsi="Times New Roman"/>
          <w:noProof/>
        </w:rPr>
        <w:t>ű</w:t>
      </w:r>
      <w:r w:rsidR="00961950" w:rsidRPr="0095368F">
        <w:rPr>
          <w:noProof/>
        </w:rPr>
        <w:t>rek et al., 2005; Millot et al., 2010)</w:t>
      </w:r>
      <w:r w:rsidR="00961950" w:rsidRPr="0095368F">
        <w:t>.</w:t>
      </w:r>
      <w:r w:rsidR="00961950">
        <w:t xml:space="preserve"> </w:t>
      </w:r>
      <w:r w:rsidR="00961950" w:rsidRPr="00341F52">
        <w:rPr>
          <w:color w:val="231F20"/>
          <w:lang w:val="en-US"/>
        </w:rPr>
        <w:t xml:space="preserve">The riverine input of </w:t>
      </w:r>
      <w:r w:rsidR="00961950">
        <w:rPr>
          <w:color w:val="231F20"/>
          <w:lang w:val="en-US"/>
        </w:rPr>
        <w:t>calcium</w:t>
      </w:r>
      <w:r w:rsidR="00961950" w:rsidRPr="00341F52">
        <w:rPr>
          <w:color w:val="231F20"/>
          <w:lang w:val="en-US"/>
        </w:rPr>
        <w:t xml:space="preserve"> to the oceans is </w:t>
      </w:r>
      <w:r w:rsidR="00961950">
        <w:rPr>
          <w:color w:val="231F20"/>
          <w:lang w:val="en-US"/>
        </w:rPr>
        <w:t>controlled by</w:t>
      </w:r>
      <w:r w:rsidR="00961950" w:rsidRPr="00341F52">
        <w:rPr>
          <w:color w:val="231F20"/>
          <w:lang w:val="en-US"/>
        </w:rPr>
        <w:t xml:space="preserve"> the composition of the</w:t>
      </w:r>
      <w:r w:rsidR="00961950">
        <w:rPr>
          <w:color w:val="231F20"/>
          <w:lang w:val="en-US"/>
        </w:rPr>
        <w:t xml:space="preserve"> primary continental crust </w:t>
      </w:r>
      <w:r w:rsidR="00961950" w:rsidRPr="00341F52">
        <w:rPr>
          <w:color w:val="231F20"/>
          <w:lang w:val="en-US"/>
        </w:rPr>
        <w:t>(dom</w:t>
      </w:r>
      <w:r w:rsidR="00961950">
        <w:rPr>
          <w:color w:val="231F20"/>
          <w:lang w:val="en-US"/>
        </w:rPr>
        <w:t xml:space="preserve">inated by carbonate weathering) and </w:t>
      </w:r>
      <w:r w:rsidR="00392CA3">
        <w:rPr>
          <w:color w:val="231F20"/>
          <w:lang w:val="en-US"/>
        </w:rPr>
        <w:t xml:space="preserve">a </w:t>
      </w:r>
      <w:r w:rsidR="00961950">
        <w:rPr>
          <w:color w:val="231F20"/>
          <w:lang w:val="en-US"/>
        </w:rPr>
        <w:t xml:space="preserve">recycled component, although the relative influence of these two processes is not well understood </w:t>
      </w:r>
      <w:r w:rsidR="00961950">
        <w:rPr>
          <w:noProof/>
          <w:color w:val="231F20"/>
          <w:lang w:val="en-US"/>
        </w:rPr>
        <w:t>(Tipper et al., 2006a)</w:t>
      </w:r>
      <w:r w:rsidR="00961950">
        <w:rPr>
          <w:color w:val="231F20"/>
          <w:lang w:val="en-US"/>
        </w:rPr>
        <w:t>.</w:t>
      </w:r>
      <w:r w:rsidR="00961950" w:rsidRPr="00341F52">
        <w:t xml:space="preserve"> </w:t>
      </w:r>
      <w:r w:rsidR="00392CA3">
        <w:t xml:space="preserve">In addition, vegetation may also play a significant role in the </w:t>
      </w:r>
      <w:r w:rsidR="00392CA3" w:rsidRPr="0095368F">
        <w:sym w:font="Symbol" w:char="0064"/>
      </w:r>
      <w:r w:rsidR="00392CA3" w:rsidRPr="0095368F">
        <w:rPr>
          <w:vertAlign w:val="superscript"/>
        </w:rPr>
        <w:t>44/40</w:t>
      </w:r>
      <w:r w:rsidR="00392CA3" w:rsidRPr="0095368F">
        <w:t>Ca</w:t>
      </w:r>
      <w:r w:rsidR="00392CA3">
        <w:t xml:space="preserve"> of rivers (Fantle and Tipper, 2014). </w:t>
      </w:r>
      <w:r w:rsidR="00961950" w:rsidRPr="00877F78">
        <w:rPr>
          <w:color w:val="231F20"/>
          <w:lang w:val="en-US"/>
        </w:rPr>
        <w:t>For Mg, the isotopic composition of the source rock is important for small rivers, however, lithology is</w:t>
      </w:r>
      <w:r w:rsidR="00961950">
        <w:rPr>
          <w:color w:val="231F20"/>
          <w:lang w:val="en-US"/>
        </w:rPr>
        <w:t xml:space="preserve"> </w:t>
      </w:r>
      <w:r w:rsidR="00961950" w:rsidRPr="00877F78">
        <w:rPr>
          <w:color w:val="231F20"/>
          <w:lang w:val="en-US"/>
        </w:rPr>
        <w:t>of limited significance</w:t>
      </w:r>
      <w:r w:rsidR="00961950">
        <w:rPr>
          <w:color w:val="231F20"/>
          <w:lang w:val="en-US"/>
        </w:rPr>
        <w:t xml:space="preserve"> </w:t>
      </w:r>
      <w:r w:rsidR="00961950" w:rsidRPr="00877F78">
        <w:rPr>
          <w:color w:val="231F20"/>
          <w:lang w:val="en-US"/>
        </w:rPr>
        <w:t>at a global scale</w:t>
      </w:r>
      <w:r w:rsidR="00961950">
        <w:rPr>
          <w:color w:val="231F20"/>
          <w:lang w:val="en-US"/>
        </w:rPr>
        <w:t xml:space="preserve"> in comparison</w:t>
      </w:r>
      <w:r w:rsidR="00961950" w:rsidRPr="00877F78">
        <w:rPr>
          <w:color w:val="231F20"/>
          <w:lang w:val="en-US"/>
        </w:rPr>
        <w:t xml:space="preserve"> </w:t>
      </w:r>
      <w:r w:rsidR="00961950">
        <w:rPr>
          <w:color w:val="231F20"/>
          <w:lang w:val="en-US"/>
        </w:rPr>
        <w:t>to</w:t>
      </w:r>
      <w:r w:rsidR="00961950" w:rsidRPr="00877F78">
        <w:rPr>
          <w:color w:val="231F20"/>
          <w:lang w:val="en-US"/>
        </w:rPr>
        <w:t xml:space="preserve"> fractionation in the weathering environment </w:t>
      </w:r>
      <w:r w:rsidR="00961950">
        <w:rPr>
          <w:noProof/>
          <w:color w:val="231F20"/>
          <w:lang w:val="en-US"/>
        </w:rPr>
        <w:t>(Tipper et al., 2006b)</w:t>
      </w:r>
      <w:r w:rsidR="00961950" w:rsidRPr="00877F78">
        <w:rPr>
          <w:color w:val="231F20"/>
          <w:lang w:val="en-US"/>
        </w:rPr>
        <w:t>.</w:t>
      </w:r>
      <w:r w:rsidR="00961950" w:rsidRPr="004665DE">
        <w:t xml:space="preserve"> </w:t>
      </w:r>
      <w:r w:rsidR="00392CA3">
        <w:t xml:space="preserve">Given the lack of evidence of source rock as a dominant control on the isotopic composition of rivers, here we focus on </w:t>
      </w:r>
      <w:r w:rsidR="00961950">
        <w:t>some of the possible causes for changes in the isotopic composition</w:t>
      </w:r>
      <w:r w:rsidR="00EF27D9">
        <w:t xml:space="preserve"> and</w:t>
      </w:r>
      <w:r w:rsidR="00961950">
        <w:t>/</w:t>
      </w:r>
      <w:r w:rsidR="00EF27D9">
        <w:t xml:space="preserve">or </w:t>
      </w:r>
      <w:r w:rsidR="00961950">
        <w:t xml:space="preserve">flux of riverine input over the </w:t>
      </w:r>
      <w:r w:rsidR="00A96B8A">
        <w:t>Neogene.</w:t>
      </w:r>
      <w:r w:rsidR="00961950" w:rsidRPr="004665DE">
        <w:t xml:space="preserve"> </w:t>
      </w:r>
      <w:r w:rsidR="00961950">
        <w:rPr>
          <w:color w:val="231F20"/>
          <w:lang w:val="en-US"/>
        </w:rPr>
        <w:t xml:space="preserve"> </w:t>
      </w:r>
    </w:p>
    <w:p w14:paraId="733403D8" w14:textId="515339E9" w:rsidR="00CD4B3D" w:rsidRPr="00736E4B" w:rsidRDefault="00961950" w:rsidP="00CD4B3D">
      <w:pPr>
        <w:pStyle w:val="NormalWeb"/>
        <w:spacing w:line="360" w:lineRule="auto"/>
        <w:rPr>
          <w:rFonts w:ascii="Times New Roman" w:hAnsi="Times New Roman"/>
          <w:sz w:val="24"/>
          <w:szCs w:val="24"/>
        </w:rPr>
      </w:pPr>
      <w:r w:rsidRPr="00105156">
        <w:rPr>
          <w:rFonts w:ascii="Times New Roman" w:hAnsi="Times New Roman"/>
          <w:color w:val="231F20"/>
          <w:sz w:val="24"/>
          <w:szCs w:val="24"/>
          <w:lang w:val="en-US"/>
        </w:rPr>
        <w:t xml:space="preserve">In this regard, </w:t>
      </w:r>
      <w:r w:rsidRPr="00105156">
        <w:rPr>
          <w:rFonts w:ascii="Times New Roman" w:hAnsi="Times New Roman"/>
          <w:sz w:val="24"/>
          <w:szCs w:val="24"/>
        </w:rPr>
        <w:t xml:space="preserve">of the four elements discussed here, </w:t>
      </w:r>
      <w:r w:rsidR="00392CA3" w:rsidRPr="00105156">
        <w:rPr>
          <w:rFonts w:ascii="Times New Roman" w:hAnsi="Times New Roman"/>
          <w:sz w:val="24"/>
          <w:szCs w:val="24"/>
        </w:rPr>
        <w:t>the Li isotopic system is</w:t>
      </w:r>
      <w:r w:rsidRPr="00105156">
        <w:rPr>
          <w:rFonts w:ascii="Times New Roman" w:hAnsi="Times New Roman"/>
          <w:sz w:val="24"/>
          <w:szCs w:val="24"/>
        </w:rPr>
        <w:t xml:space="preserve"> the most extensively studied. Indeed, the change in </w:t>
      </w:r>
      <w:r w:rsidRPr="00105156">
        <w:rPr>
          <w:rFonts w:ascii="Times New Roman" w:hAnsi="Times New Roman"/>
          <w:sz w:val="24"/>
          <w:szCs w:val="24"/>
        </w:rPr>
        <w:sym w:font="Symbol" w:char="0064"/>
      </w:r>
      <w:r w:rsidRPr="00105156">
        <w:rPr>
          <w:rFonts w:ascii="Times New Roman" w:hAnsi="Times New Roman"/>
          <w:sz w:val="24"/>
          <w:szCs w:val="24"/>
          <w:vertAlign w:val="superscript"/>
        </w:rPr>
        <w:t>7</w:t>
      </w:r>
      <w:r w:rsidRPr="00105156">
        <w:rPr>
          <w:rFonts w:ascii="Times New Roman" w:hAnsi="Times New Roman"/>
          <w:sz w:val="24"/>
          <w:szCs w:val="24"/>
        </w:rPr>
        <w:t>Li</w:t>
      </w:r>
      <w:r w:rsidRPr="00105156">
        <w:rPr>
          <w:rFonts w:ascii="Times New Roman" w:hAnsi="Times New Roman"/>
          <w:sz w:val="24"/>
          <w:szCs w:val="24"/>
          <w:vertAlign w:val="subscript"/>
        </w:rPr>
        <w:t>sw</w:t>
      </w:r>
      <w:r w:rsidRPr="00105156">
        <w:rPr>
          <w:rFonts w:ascii="Times New Roman" w:hAnsi="Times New Roman"/>
          <w:sz w:val="24"/>
          <w:szCs w:val="24"/>
        </w:rPr>
        <w:t xml:space="preserve"> has </w:t>
      </w:r>
      <w:r w:rsidR="00392CA3" w:rsidRPr="00105156">
        <w:rPr>
          <w:rFonts w:ascii="Times New Roman" w:hAnsi="Times New Roman"/>
          <w:sz w:val="24"/>
          <w:szCs w:val="24"/>
        </w:rPr>
        <w:t xml:space="preserve">already </w:t>
      </w:r>
      <w:r w:rsidRPr="00105156">
        <w:rPr>
          <w:rFonts w:ascii="Times New Roman" w:hAnsi="Times New Roman"/>
          <w:sz w:val="24"/>
          <w:szCs w:val="24"/>
        </w:rPr>
        <w:t xml:space="preserve">been attributed to an increase in the </w:t>
      </w:r>
      <w:r w:rsidRPr="00105156">
        <w:rPr>
          <w:rFonts w:ascii="Times New Roman" w:hAnsi="Times New Roman"/>
          <w:sz w:val="24"/>
          <w:szCs w:val="24"/>
        </w:rPr>
        <w:sym w:font="Symbol" w:char="0064"/>
      </w:r>
      <w:r w:rsidRPr="00105156">
        <w:rPr>
          <w:rFonts w:ascii="Times New Roman" w:hAnsi="Times New Roman"/>
          <w:sz w:val="24"/>
          <w:szCs w:val="24"/>
          <w:vertAlign w:val="superscript"/>
        </w:rPr>
        <w:t>7</w:t>
      </w:r>
      <w:r w:rsidRPr="00105156">
        <w:rPr>
          <w:rFonts w:ascii="Times New Roman" w:hAnsi="Times New Roman"/>
          <w:sz w:val="24"/>
          <w:szCs w:val="24"/>
        </w:rPr>
        <w:t>Li</w:t>
      </w:r>
      <w:r w:rsidRPr="00105156">
        <w:rPr>
          <w:rFonts w:ascii="Times New Roman" w:hAnsi="Times New Roman"/>
          <w:sz w:val="24"/>
          <w:szCs w:val="24"/>
          <w:vertAlign w:val="subscript"/>
        </w:rPr>
        <w:t xml:space="preserve">sw </w:t>
      </w:r>
      <w:r w:rsidRPr="00105156">
        <w:rPr>
          <w:rFonts w:ascii="Times New Roman" w:hAnsi="Times New Roman"/>
          <w:sz w:val="24"/>
          <w:szCs w:val="24"/>
        </w:rPr>
        <w:t xml:space="preserve">composition of the riverine input </w:t>
      </w:r>
      <w:r w:rsidRPr="00105156">
        <w:rPr>
          <w:rFonts w:ascii="Times New Roman" w:hAnsi="Times New Roman"/>
          <w:noProof/>
          <w:sz w:val="24"/>
          <w:szCs w:val="24"/>
        </w:rPr>
        <w:t>(Hathorne and James, 2006; Misra and Froelich, 2012)</w:t>
      </w:r>
      <w:r w:rsidRPr="00105156">
        <w:rPr>
          <w:rFonts w:ascii="Times New Roman" w:hAnsi="Times New Roman"/>
          <w:sz w:val="24"/>
          <w:szCs w:val="24"/>
        </w:rPr>
        <w:t xml:space="preserve">. The causes of the shift in </w:t>
      </w:r>
      <w:r w:rsidRPr="00105156">
        <w:rPr>
          <w:rFonts w:ascii="Times New Roman" w:hAnsi="Times New Roman"/>
          <w:sz w:val="24"/>
          <w:szCs w:val="24"/>
        </w:rPr>
        <w:sym w:font="Symbol" w:char="0064"/>
      </w:r>
      <w:r w:rsidRPr="00105156">
        <w:rPr>
          <w:rFonts w:ascii="Times New Roman" w:hAnsi="Times New Roman"/>
          <w:sz w:val="24"/>
          <w:szCs w:val="24"/>
          <w:vertAlign w:val="superscript"/>
        </w:rPr>
        <w:t>7</w:t>
      </w:r>
      <w:r w:rsidRPr="00105156">
        <w:rPr>
          <w:rFonts w:ascii="Times New Roman" w:hAnsi="Times New Roman"/>
          <w:sz w:val="24"/>
          <w:szCs w:val="24"/>
        </w:rPr>
        <w:t xml:space="preserve">Li riverine have been variably attributed to: </w:t>
      </w:r>
      <w:r w:rsidR="00E17DFE" w:rsidRPr="00105156">
        <w:rPr>
          <w:rFonts w:ascii="Times New Roman" w:hAnsi="Times New Roman"/>
          <w:sz w:val="24"/>
          <w:szCs w:val="24"/>
        </w:rPr>
        <w:t>(</w:t>
      </w:r>
      <w:r w:rsidRPr="00105156">
        <w:rPr>
          <w:rFonts w:ascii="Times New Roman" w:hAnsi="Times New Roman"/>
          <w:sz w:val="24"/>
          <w:szCs w:val="24"/>
        </w:rPr>
        <w:t xml:space="preserve">1) an increase in incongruent weathering of silicate rocks and secondary clay formation as a consequence of Himalayan uplift </w:t>
      </w:r>
      <w:r w:rsidRPr="00105156">
        <w:rPr>
          <w:rFonts w:ascii="Times New Roman" w:hAnsi="Times New Roman"/>
          <w:noProof/>
          <w:sz w:val="24"/>
          <w:szCs w:val="24"/>
        </w:rPr>
        <w:t>(Misra and Froelich, 2012</w:t>
      </w:r>
      <w:r w:rsidR="00056556">
        <w:rPr>
          <w:rFonts w:ascii="Times New Roman" w:hAnsi="Times New Roman"/>
          <w:noProof/>
          <w:sz w:val="24"/>
          <w:szCs w:val="24"/>
        </w:rPr>
        <w:t xml:space="preserve">; </w:t>
      </w:r>
      <w:r w:rsidR="00056556" w:rsidRPr="00A83B83">
        <w:rPr>
          <w:rFonts w:ascii="Times New Roman" w:hAnsi="Times New Roman"/>
          <w:noProof/>
          <w:sz w:val="24"/>
          <w:szCs w:val="24"/>
        </w:rPr>
        <w:t>Li and West, 2014</w:t>
      </w:r>
      <w:r w:rsidRPr="00105156">
        <w:rPr>
          <w:rFonts w:ascii="Times New Roman" w:hAnsi="Times New Roman"/>
          <w:noProof/>
          <w:sz w:val="24"/>
          <w:szCs w:val="24"/>
        </w:rPr>
        <w:t>)</w:t>
      </w:r>
      <w:r w:rsidR="00291381" w:rsidRPr="00105156">
        <w:rPr>
          <w:rFonts w:ascii="Times New Roman" w:hAnsi="Times New Roman"/>
          <w:sz w:val="24"/>
          <w:szCs w:val="24"/>
        </w:rPr>
        <w:t>,</w:t>
      </w:r>
      <w:r w:rsidRPr="00105156">
        <w:rPr>
          <w:rFonts w:ascii="Times New Roman" w:hAnsi="Times New Roman"/>
          <w:sz w:val="24"/>
          <w:szCs w:val="24"/>
        </w:rPr>
        <w:t xml:space="preserve"> </w:t>
      </w:r>
      <w:r w:rsidR="00E17DFE" w:rsidRPr="00105156">
        <w:rPr>
          <w:rFonts w:ascii="Times New Roman" w:hAnsi="Times New Roman"/>
          <w:sz w:val="24"/>
          <w:szCs w:val="24"/>
        </w:rPr>
        <w:t>(</w:t>
      </w:r>
      <w:r w:rsidRPr="00105156">
        <w:rPr>
          <w:rFonts w:ascii="Times New Roman" w:hAnsi="Times New Roman"/>
          <w:sz w:val="24"/>
          <w:szCs w:val="24"/>
        </w:rPr>
        <w:t xml:space="preserve">2) </w:t>
      </w:r>
      <w:r w:rsidR="00291381" w:rsidRPr="00105156">
        <w:rPr>
          <w:rFonts w:ascii="Times New Roman" w:hAnsi="Times New Roman"/>
          <w:sz w:val="24"/>
          <w:szCs w:val="24"/>
        </w:rPr>
        <w:t>a</w:t>
      </w:r>
      <w:r w:rsidRPr="00105156">
        <w:rPr>
          <w:rFonts w:ascii="Times New Roman" w:hAnsi="Times New Roman"/>
          <w:sz w:val="24"/>
          <w:szCs w:val="24"/>
        </w:rPr>
        <w:t xml:space="preserve"> reduction in weathering intensity </w:t>
      </w:r>
      <w:r w:rsidRPr="00105156">
        <w:rPr>
          <w:rFonts w:ascii="Times New Roman" w:hAnsi="Times New Roman"/>
          <w:noProof/>
          <w:sz w:val="24"/>
          <w:szCs w:val="24"/>
        </w:rPr>
        <w:t>(Hathorne and James, 2006</w:t>
      </w:r>
      <w:r w:rsidR="00D346DD" w:rsidRPr="00105156">
        <w:rPr>
          <w:rFonts w:ascii="Times New Roman" w:hAnsi="Times New Roman"/>
          <w:noProof/>
          <w:sz w:val="24"/>
          <w:szCs w:val="24"/>
        </w:rPr>
        <w:t>; Froelich and Misra, 2014</w:t>
      </w:r>
      <w:r w:rsidR="00056556">
        <w:rPr>
          <w:rFonts w:ascii="Times New Roman" w:hAnsi="Times New Roman"/>
          <w:noProof/>
          <w:sz w:val="24"/>
          <w:szCs w:val="24"/>
        </w:rPr>
        <w:t xml:space="preserve">; </w:t>
      </w:r>
      <w:r w:rsidR="00056556" w:rsidRPr="00A83B83">
        <w:rPr>
          <w:rFonts w:ascii="Times New Roman" w:hAnsi="Times New Roman"/>
          <w:noProof/>
          <w:sz w:val="24"/>
          <w:szCs w:val="24"/>
        </w:rPr>
        <w:t>Wanner et al., 2014</w:t>
      </w:r>
      <w:r w:rsidRPr="00105156">
        <w:rPr>
          <w:rFonts w:ascii="Times New Roman" w:hAnsi="Times New Roman"/>
          <w:noProof/>
          <w:sz w:val="24"/>
          <w:szCs w:val="24"/>
        </w:rPr>
        <w:t>)</w:t>
      </w:r>
      <w:r w:rsidR="00291381" w:rsidRPr="00105156">
        <w:rPr>
          <w:rFonts w:ascii="Times New Roman" w:hAnsi="Times New Roman"/>
          <w:sz w:val="24"/>
          <w:szCs w:val="24"/>
        </w:rPr>
        <w:t>,</w:t>
      </w:r>
      <w:r w:rsidRPr="00105156">
        <w:rPr>
          <w:rFonts w:ascii="Times New Roman" w:hAnsi="Times New Roman"/>
          <w:sz w:val="24"/>
          <w:szCs w:val="24"/>
        </w:rPr>
        <w:t xml:space="preserve"> </w:t>
      </w:r>
      <w:r w:rsidR="00E17DFE" w:rsidRPr="00105156">
        <w:rPr>
          <w:rFonts w:ascii="Times New Roman" w:hAnsi="Times New Roman"/>
          <w:sz w:val="24"/>
          <w:szCs w:val="24"/>
        </w:rPr>
        <w:t>(</w:t>
      </w:r>
      <w:r w:rsidRPr="00105156">
        <w:rPr>
          <w:rFonts w:ascii="Times New Roman" w:hAnsi="Times New Roman"/>
          <w:sz w:val="24"/>
          <w:szCs w:val="24"/>
        </w:rPr>
        <w:t xml:space="preserve">3) </w:t>
      </w:r>
      <w:r w:rsidR="00291381" w:rsidRPr="00105156">
        <w:rPr>
          <w:rFonts w:ascii="Times New Roman" w:hAnsi="Times New Roman"/>
          <w:sz w:val="24"/>
          <w:szCs w:val="24"/>
        </w:rPr>
        <w:t>an</w:t>
      </w:r>
      <w:r w:rsidRPr="00105156">
        <w:rPr>
          <w:rFonts w:ascii="Times New Roman" w:hAnsi="Times New Roman"/>
          <w:sz w:val="24"/>
          <w:szCs w:val="24"/>
        </w:rPr>
        <w:t xml:space="preserve"> increase in silicate weathering rate </w:t>
      </w:r>
      <w:r w:rsidRPr="00105156">
        <w:rPr>
          <w:rFonts w:ascii="Times New Roman" w:hAnsi="Times New Roman"/>
          <w:noProof/>
          <w:sz w:val="24"/>
          <w:szCs w:val="24"/>
        </w:rPr>
        <w:t>(Liu et al., 2015)</w:t>
      </w:r>
      <w:r w:rsidR="00105156">
        <w:rPr>
          <w:rFonts w:ascii="Times New Roman" w:hAnsi="Times New Roman"/>
          <w:noProof/>
          <w:sz w:val="24"/>
          <w:szCs w:val="24"/>
        </w:rPr>
        <w:t>,</w:t>
      </w:r>
      <w:r w:rsidRPr="00105156">
        <w:rPr>
          <w:rFonts w:ascii="Times New Roman" w:hAnsi="Times New Roman"/>
          <w:sz w:val="24"/>
          <w:szCs w:val="24"/>
        </w:rPr>
        <w:t xml:space="preserve"> 4) </w:t>
      </w:r>
      <w:r w:rsidR="00291381" w:rsidRPr="00105156">
        <w:rPr>
          <w:rFonts w:ascii="Times New Roman" w:hAnsi="Times New Roman"/>
          <w:sz w:val="24"/>
          <w:szCs w:val="24"/>
        </w:rPr>
        <w:t>a</w:t>
      </w:r>
      <w:r w:rsidRPr="00105156">
        <w:rPr>
          <w:rFonts w:ascii="Times New Roman" w:hAnsi="Times New Roman"/>
          <w:sz w:val="24"/>
          <w:szCs w:val="24"/>
        </w:rPr>
        <w:t xml:space="preserve">n increase in the formation of floodplains and the increased formation of secondary minerals </w:t>
      </w:r>
      <w:r w:rsidRPr="00105156">
        <w:rPr>
          <w:rFonts w:ascii="Times New Roman" w:hAnsi="Times New Roman"/>
          <w:noProof/>
          <w:sz w:val="24"/>
          <w:szCs w:val="24"/>
        </w:rPr>
        <w:t>(Pogge von Strandmann and Henderson, 2014)</w:t>
      </w:r>
      <w:r w:rsidR="00105156">
        <w:rPr>
          <w:rFonts w:ascii="Times New Roman" w:hAnsi="Times New Roman"/>
          <w:noProof/>
          <w:sz w:val="24"/>
          <w:szCs w:val="24"/>
        </w:rPr>
        <w:t xml:space="preserve"> and</w:t>
      </w:r>
      <w:r w:rsidR="00105156" w:rsidRPr="00105156">
        <w:rPr>
          <w:rFonts w:ascii="Times New Roman" w:hAnsi="Times New Roman"/>
          <w:noProof/>
          <w:sz w:val="24"/>
          <w:szCs w:val="24"/>
        </w:rPr>
        <w:t xml:space="preserve"> (5) </w:t>
      </w:r>
      <w:r w:rsidR="00105156" w:rsidRPr="00105156">
        <w:rPr>
          <w:rFonts w:ascii="Times New Roman" w:hAnsi="Times New Roman"/>
          <w:sz w:val="24"/>
          <w:szCs w:val="24"/>
        </w:rPr>
        <w:t xml:space="preserve">a climatic control on soil production rates </w:t>
      </w:r>
      <w:r w:rsidR="00105156" w:rsidRPr="00A83B83">
        <w:rPr>
          <w:rFonts w:ascii="Times New Roman" w:hAnsi="Times New Roman"/>
          <w:sz w:val="24"/>
          <w:szCs w:val="24"/>
        </w:rPr>
        <w:t>(Vigier and Godderis, 2015)</w:t>
      </w:r>
      <w:r w:rsidRPr="00A83B83">
        <w:rPr>
          <w:sz w:val="24"/>
          <w:szCs w:val="24"/>
        </w:rPr>
        <w:t>.</w:t>
      </w:r>
      <w:r w:rsidRPr="00105156">
        <w:rPr>
          <w:sz w:val="24"/>
          <w:szCs w:val="24"/>
        </w:rPr>
        <w:t xml:space="preserve"> In all </w:t>
      </w:r>
      <w:r w:rsidR="00056556" w:rsidRPr="00105156">
        <w:rPr>
          <w:sz w:val="24"/>
          <w:szCs w:val="24"/>
        </w:rPr>
        <w:t>f</w:t>
      </w:r>
      <w:r w:rsidR="00056556">
        <w:rPr>
          <w:sz w:val="24"/>
          <w:szCs w:val="24"/>
        </w:rPr>
        <w:t>ive</w:t>
      </w:r>
      <w:r w:rsidR="00056556" w:rsidRPr="00105156">
        <w:rPr>
          <w:sz w:val="24"/>
          <w:szCs w:val="24"/>
        </w:rPr>
        <w:t xml:space="preserve"> </w:t>
      </w:r>
      <w:r w:rsidRPr="00105156">
        <w:rPr>
          <w:sz w:val="24"/>
          <w:szCs w:val="24"/>
        </w:rPr>
        <w:t xml:space="preserve">cases the lighter isotope of Li is retained on land in clay and secondary minerals. A mechanism associated with either an increase in secondary mineral formation or the retention of these minerals on land is also consistent across Mg, Ca and B isotope systems. For instance, clay minerals are preferentially enriched in the light isotope of B </w:t>
      </w:r>
      <w:r w:rsidRPr="00105156">
        <w:rPr>
          <w:noProof/>
          <w:sz w:val="24"/>
          <w:szCs w:val="24"/>
        </w:rPr>
        <w:t>(Spivack and Edmond, 1987; Deyhle and Kopf, 2004; Lemarchand and Gaillardet, 2006)</w:t>
      </w:r>
      <w:r w:rsidRPr="00105156">
        <w:rPr>
          <w:sz w:val="24"/>
          <w:szCs w:val="24"/>
        </w:rPr>
        <w:t xml:space="preserve"> and Li </w:t>
      </w:r>
      <w:r w:rsidRPr="00105156">
        <w:rPr>
          <w:noProof/>
          <w:sz w:val="24"/>
          <w:szCs w:val="24"/>
        </w:rPr>
        <w:t>(Pistiner and Henderson, 2003)</w:t>
      </w:r>
      <w:r w:rsidRPr="00105156">
        <w:rPr>
          <w:sz w:val="24"/>
          <w:szCs w:val="24"/>
        </w:rPr>
        <w:t xml:space="preserve"> and soil carbonates and clays are preferentially enriched in the light isotope of Ca </w:t>
      </w:r>
      <w:r w:rsidRPr="00105156">
        <w:rPr>
          <w:noProof/>
          <w:sz w:val="24"/>
          <w:szCs w:val="24"/>
        </w:rPr>
        <w:t>(Tipper et al., 2006a; Hindshaw et al., 2013</w:t>
      </w:r>
      <w:r w:rsidR="009C7667" w:rsidRPr="00105156">
        <w:rPr>
          <w:noProof/>
          <w:sz w:val="24"/>
          <w:szCs w:val="24"/>
        </w:rPr>
        <w:t>; Ockert et al., 2013</w:t>
      </w:r>
      <w:r w:rsidRPr="00105156">
        <w:rPr>
          <w:noProof/>
          <w:sz w:val="24"/>
          <w:szCs w:val="24"/>
        </w:rPr>
        <w:t>)</w:t>
      </w:r>
      <w:r w:rsidRPr="00105156">
        <w:rPr>
          <w:sz w:val="24"/>
          <w:szCs w:val="24"/>
        </w:rPr>
        <w:t xml:space="preserve">. The formation of secondary silicate minerals, such as clays, is assumed to preferentially take up </w:t>
      </w:r>
      <w:r w:rsidR="003B4216" w:rsidRPr="00105156">
        <w:rPr>
          <w:sz w:val="24"/>
          <w:szCs w:val="24"/>
        </w:rPr>
        <w:t xml:space="preserve">the </w:t>
      </w:r>
      <w:r w:rsidRPr="00105156">
        <w:rPr>
          <w:sz w:val="24"/>
          <w:szCs w:val="24"/>
        </w:rPr>
        <w:t>heavy Mg</w:t>
      </w:r>
      <w:r w:rsidR="00291381" w:rsidRPr="00105156">
        <w:rPr>
          <w:sz w:val="24"/>
          <w:szCs w:val="24"/>
        </w:rPr>
        <w:t xml:space="preserve"> isotope</w:t>
      </w:r>
      <w:r w:rsidRPr="00105156">
        <w:rPr>
          <w:sz w:val="24"/>
          <w:szCs w:val="24"/>
        </w:rPr>
        <w:t xml:space="preserve"> into the solid phase </w:t>
      </w:r>
      <w:r w:rsidRPr="00105156">
        <w:rPr>
          <w:noProof/>
          <w:sz w:val="24"/>
          <w:szCs w:val="24"/>
        </w:rPr>
        <w:t>(Tipper et al., 2006a; Tipper et al., 2006b; Pogge von Strandmann et al., 2008; Wimpenny et al., 2014)</w:t>
      </w:r>
      <w:r w:rsidRPr="00105156">
        <w:rPr>
          <w:sz w:val="24"/>
          <w:szCs w:val="24"/>
        </w:rPr>
        <w:t xml:space="preserve">, adequately explaining the inverse relationship between </w:t>
      </w:r>
      <w:r w:rsidRPr="00105156">
        <w:rPr>
          <w:rFonts w:ascii="Times New Roman" w:hAnsi="Times New Roman"/>
          <w:sz w:val="24"/>
          <w:szCs w:val="24"/>
        </w:rPr>
        <w:t>δ</w:t>
      </w:r>
      <w:r w:rsidRPr="00105156">
        <w:rPr>
          <w:sz w:val="24"/>
          <w:szCs w:val="24"/>
          <w:vertAlign w:val="superscript"/>
        </w:rPr>
        <w:t>11</w:t>
      </w:r>
      <w:r w:rsidRPr="00105156">
        <w:rPr>
          <w:sz w:val="24"/>
          <w:szCs w:val="24"/>
        </w:rPr>
        <w:t>B</w:t>
      </w:r>
      <w:r w:rsidRPr="00105156">
        <w:rPr>
          <w:sz w:val="24"/>
          <w:szCs w:val="24"/>
          <w:vertAlign w:val="subscript"/>
        </w:rPr>
        <w:t>sw</w:t>
      </w:r>
      <w:r w:rsidRPr="00105156">
        <w:rPr>
          <w:sz w:val="24"/>
          <w:szCs w:val="24"/>
        </w:rPr>
        <w:t xml:space="preserve"> and </w:t>
      </w:r>
      <w:r w:rsidRPr="00105156">
        <w:rPr>
          <w:sz w:val="24"/>
          <w:szCs w:val="24"/>
        </w:rPr>
        <w:sym w:font="Symbol" w:char="0064"/>
      </w:r>
      <w:r w:rsidRPr="00105156">
        <w:rPr>
          <w:sz w:val="24"/>
          <w:szCs w:val="24"/>
          <w:vertAlign w:val="superscript"/>
        </w:rPr>
        <w:t>26</w:t>
      </w:r>
      <w:r w:rsidRPr="00105156">
        <w:rPr>
          <w:sz w:val="24"/>
          <w:szCs w:val="24"/>
        </w:rPr>
        <w:t>Mg</w:t>
      </w:r>
      <w:r w:rsidRPr="00105156">
        <w:rPr>
          <w:sz w:val="24"/>
          <w:szCs w:val="24"/>
          <w:vertAlign w:val="subscript"/>
        </w:rPr>
        <w:t>sw</w:t>
      </w:r>
      <w:r w:rsidRPr="00105156">
        <w:rPr>
          <w:sz w:val="24"/>
          <w:szCs w:val="24"/>
        </w:rPr>
        <w:t xml:space="preserve">. Consequently the increased </w:t>
      </w:r>
      <w:r w:rsidRPr="00736E4B">
        <w:rPr>
          <w:sz w:val="24"/>
          <w:szCs w:val="24"/>
        </w:rPr>
        <w:t xml:space="preserve">formation or retention on land of secondary minerals would alter the isotopic composition of the riverine input </w:t>
      </w:r>
      <w:r w:rsidR="00044441" w:rsidRPr="00736E4B">
        <w:rPr>
          <w:sz w:val="24"/>
          <w:szCs w:val="24"/>
        </w:rPr>
        <w:t xml:space="preserve">to the ocean in the correct direction to </w:t>
      </w:r>
      <w:r w:rsidRPr="00736E4B">
        <w:rPr>
          <w:sz w:val="24"/>
          <w:szCs w:val="24"/>
        </w:rPr>
        <w:t>explain the trends in all four isotope systems t</w:t>
      </w:r>
      <w:r w:rsidR="00677748" w:rsidRPr="00736E4B">
        <w:rPr>
          <w:sz w:val="24"/>
          <w:szCs w:val="24"/>
        </w:rPr>
        <w:t xml:space="preserve">hrough the late Neogene (Fig. </w:t>
      </w:r>
      <w:r w:rsidRPr="00736E4B">
        <w:rPr>
          <w:sz w:val="24"/>
          <w:szCs w:val="24"/>
        </w:rPr>
        <w:t>1</w:t>
      </w:r>
      <w:r w:rsidR="00876B1F" w:rsidRPr="00736E4B">
        <w:rPr>
          <w:sz w:val="24"/>
          <w:szCs w:val="24"/>
        </w:rPr>
        <w:t>3</w:t>
      </w:r>
      <w:r w:rsidRPr="00736E4B">
        <w:rPr>
          <w:sz w:val="24"/>
          <w:szCs w:val="24"/>
        </w:rPr>
        <w:t>).</w:t>
      </w:r>
      <w:r w:rsidR="008207DD" w:rsidRPr="00736E4B">
        <w:rPr>
          <w:sz w:val="24"/>
          <w:szCs w:val="24"/>
        </w:rPr>
        <w:t xml:space="preserve"> While the </w:t>
      </w:r>
      <w:r w:rsidR="00F84322" w:rsidRPr="00736E4B">
        <w:rPr>
          <w:sz w:val="24"/>
          <w:szCs w:val="24"/>
        </w:rPr>
        <w:t>relationship</w:t>
      </w:r>
      <w:r w:rsidR="007526A1">
        <w:rPr>
          <w:sz w:val="24"/>
          <w:szCs w:val="24"/>
        </w:rPr>
        <w:t>s</w:t>
      </w:r>
      <w:r w:rsidR="008207DD" w:rsidRPr="00736E4B">
        <w:rPr>
          <w:sz w:val="24"/>
          <w:szCs w:val="24"/>
        </w:rPr>
        <w:t xml:space="preserve"> between the different isotope system</w:t>
      </w:r>
      <w:r w:rsidR="007526A1">
        <w:rPr>
          <w:sz w:val="24"/>
          <w:szCs w:val="24"/>
        </w:rPr>
        <w:t>s discussed here</w:t>
      </w:r>
      <w:r w:rsidR="008207DD" w:rsidRPr="00736E4B">
        <w:rPr>
          <w:sz w:val="24"/>
          <w:szCs w:val="24"/>
        </w:rPr>
        <w:t xml:space="preserve"> suggest a common control, the influence of </w:t>
      </w:r>
      <w:r w:rsidR="008207DD" w:rsidRPr="00736E4B">
        <w:rPr>
          <w:rFonts w:ascii="Times New Roman" w:hAnsi="Times New Roman"/>
          <w:sz w:val="24"/>
          <w:szCs w:val="24"/>
        </w:rPr>
        <w:t>carbonate and dolomite formation on Ca and Mg isotopes are also likely to have played a significant role in the evolution of these isotope systems</w:t>
      </w:r>
      <w:r w:rsidR="00F84322" w:rsidRPr="00736E4B">
        <w:rPr>
          <w:rFonts w:ascii="Times New Roman" w:hAnsi="Times New Roman"/>
          <w:sz w:val="24"/>
          <w:szCs w:val="24"/>
        </w:rPr>
        <w:t xml:space="preserve"> (Tipper et al., 2006b; </w:t>
      </w:r>
      <w:r w:rsidR="00F84322" w:rsidRPr="00736E4B">
        <w:rPr>
          <w:rFonts w:ascii="Times New Roman" w:hAnsi="Times New Roman"/>
          <w:noProof/>
          <w:sz w:val="24"/>
          <w:szCs w:val="24"/>
        </w:rPr>
        <w:t>Fantle and Tipper, 2014).</w:t>
      </w:r>
      <w:r w:rsidR="008207DD" w:rsidRPr="00736E4B">
        <w:rPr>
          <w:rFonts w:ascii="Times New Roman" w:hAnsi="Times New Roman"/>
          <w:sz w:val="24"/>
          <w:szCs w:val="24"/>
        </w:rPr>
        <w:t xml:space="preserve"> </w:t>
      </w:r>
      <w:r w:rsidR="00F84322" w:rsidRPr="00736E4B">
        <w:rPr>
          <w:rFonts w:ascii="Times New Roman" w:hAnsi="Times New Roman"/>
          <w:sz w:val="24"/>
          <w:szCs w:val="24"/>
        </w:rPr>
        <w:t>Consequently</w:t>
      </w:r>
      <w:r w:rsidR="008207DD" w:rsidRPr="00736E4B">
        <w:rPr>
          <w:rFonts w:ascii="Times New Roman" w:hAnsi="Times New Roman"/>
          <w:sz w:val="24"/>
          <w:szCs w:val="24"/>
        </w:rPr>
        <w:t xml:space="preserve"> a future model of seawater </w:t>
      </w:r>
      <w:r w:rsidR="00F84322" w:rsidRPr="00736E4B">
        <w:rPr>
          <w:rFonts w:ascii="Times New Roman" w:hAnsi="Times New Roman"/>
          <w:sz w:val="24"/>
          <w:szCs w:val="24"/>
        </w:rPr>
        <w:t>chemistry</w:t>
      </w:r>
      <w:r w:rsidR="00CF6B1E">
        <w:rPr>
          <w:rFonts w:ascii="Times New Roman" w:hAnsi="Times New Roman"/>
          <w:sz w:val="24"/>
          <w:szCs w:val="24"/>
        </w:rPr>
        <w:t xml:space="preserve"> evolution</w:t>
      </w:r>
      <w:r w:rsidR="008207DD" w:rsidRPr="00736E4B">
        <w:rPr>
          <w:rFonts w:ascii="Times New Roman" w:hAnsi="Times New Roman"/>
          <w:sz w:val="24"/>
          <w:szCs w:val="24"/>
        </w:rPr>
        <w:t xml:space="preserve"> through the Neogene must also include these additional factors.</w:t>
      </w:r>
      <w:r w:rsidR="00535D4E" w:rsidRPr="00736E4B">
        <w:rPr>
          <w:rFonts w:ascii="Times New Roman" w:hAnsi="Times New Roman"/>
          <w:sz w:val="24"/>
          <w:szCs w:val="24"/>
        </w:rPr>
        <w:t xml:space="preserve"> Further exploration is also needed to determine the influence of residence time on the evolution of ocean chemistry. </w:t>
      </w:r>
      <w:r w:rsidR="00CD4B3D">
        <w:rPr>
          <w:rFonts w:ascii="Times New Roman" w:hAnsi="Times New Roman"/>
          <w:sz w:val="24"/>
          <w:szCs w:val="24"/>
        </w:rPr>
        <w:t>Nonetheless, given the similarities between the geochemical cycles of B and Li, and d</w:t>
      </w:r>
      <w:r w:rsidR="00CD4B3D" w:rsidRPr="00736E4B">
        <w:rPr>
          <w:rFonts w:ascii="Times New Roman" w:hAnsi="Times New Roman"/>
          <w:sz w:val="24"/>
          <w:szCs w:val="24"/>
        </w:rPr>
        <w:t xml:space="preserve">espite the large difference in residence time </w:t>
      </w:r>
      <w:r w:rsidR="00CD4B3D">
        <w:rPr>
          <w:rFonts w:ascii="Times New Roman" w:hAnsi="Times New Roman"/>
          <w:sz w:val="24"/>
          <w:szCs w:val="24"/>
        </w:rPr>
        <w:t xml:space="preserve">(Li = </w:t>
      </w:r>
      <w:r w:rsidR="00CD4B3D" w:rsidRPr="00736E4B">
        <w:rPr>
          <w:rFonts w:ascii="Times New Roman" w:hAnsi="Times New Roman"/>
          <w:sz w:val="24"/>
          <w:szCs w:val="24"/>
        </w:rPr>
        <w:t>1 million years</w:t>
      </w:r>
      <w:r w:rsidR="00CD4B3D">
        <w:rPr>
          <w:rFonts w:ascii="Times New Roman" w:hAnsi="Times New Roman"/>
          <w:sz w:val="24"/>
          <w:szCs w:val="24"/>
        </w:rPr>
        <w:t xml:space="preserve">, B = </w:t>
      </w:r>
      <w:r w:rsidR="00CD4B3D" w:rsidRPr="00736E4B">
        <w:rPr>
          <w:color w:val="1A1718"/>
          <w:sz w:val="24"/>
          <w:szCs w:val="24"/>
          <w:lang w:val="en-US"/>
        </w:rPr>
        <w:t>11-17 million years</w:t>
      </w:r>
      <w:r w:rsidR="00CD4B3D" w:rsidRPr="00736E4B">
        <w:rPr>
          <w:rFonts w:ascii="Times New Roman" w:hAnsi="Times New Roman"/>
          <w:sz w:val="24"/>
          <w:szCs w:val="24"/>
        </w:rPr>
        <w:t>)</w:t>
      </w:r>
      <w:r w:rsidR="00CD4B3D">
        <w:rPr>
          <w:rFonts w:ascii="Times New Roman" w:hAnsi="Times New Roman"/>
          <w:sz w:val="24"/>
          <w:szCs w:val="24"/>
        </w:rPr>
        <w:t>,</w:t>
      </w:r>
      <w:r w:rsidR="00CD4B3D" w:rsidRPr="00736E4B">
        <w:rPr>
          <w:rFonts w:ascii="Times New Roman" w:hAnsi="Times New Roman"/>
          <w:sz w:val="24"/>
          <w:szCs w:val="24"/>
        </w:rPr>
        <w:t xml:space="preserve"> the correlation between these two records is compelling</w:t>
      </w:r>
      <w:r w:rsidR="00CD4B3D">
        <w:rPr>
          <w:rFonts w:ascii="Times New Roman" w:hAnsi="Times New Roman"/>
          <w:sz w:val="24"/>
          <w:szCs w:val="24"/>
        </w:rPr>
        <w:t xml:space="preserve"> and would no doubt benefit from additional study</w:t>
      </w:r>
      <w:r w:rsidR="00CD4B3D" w:rsidRPr="00736E4B">
        <w:rPr>
          <w:rFonts w:ascii="Times New Roman" w:hAnsi="Times New Roman"/>
          <w:sz w:val="24"/>
          <w:szCs w:val="24"/>
        </w:rPr>
        <w:t xml:space="preserve">. </w:t>
      </w:r>
    </w:p>
    <w:p w14:paraId="4583A4B4" w14:textId="1C98659A" w:rsidR="00961950" w:rsidRPr="00736E4B" w:rsidRDefault="00961950" w:rsidP="00A32BE2">
      <w:pPr>
        <w:pStyle w:val="NormalWeb"/>
        <w:spacing w:line="360" w:lineRule="auto"/>
        <w:rPr>
          <w:rFonts w:ascii="Times New Roman" w:hAnsi="Times New Roman"/>
          <w:sz w:val="24"/>
          <w:szCs w:val="24"/>
        </w:rPr>
      </w:pPr>
    </w:p>
    <w:p w14:paraId="03DBC243" w14:textId="1DB6CBB1" w:rsidR="00961950" w:rsidRPr="00140F06" w:rsidRDefault="00961950" w:rsidP="00FA27A7">
      <w:pPr>
        <w:pStyle w:val="Heading2"/>
        <w:numPr>
          <w:ilvl w:val="0"/>
          <w:numId w:val="29"/>
        </w:numPr>
      </w:pPr>
      <w:bookmarkStart w:id="15" w:name="_Toc287775660"/>
      <w:r>
        <w:t>Conclusions</w:t>
      </w:r>
      <w:bookmarkEnd w:id="15"/>
    </w:p>
    <w:p w14:paraId="38A0E086" w14:textId="515CB943" w:rsidR="00124FEA" w:rsidRDefault="00961950" w:rsidP="00124FEA">
      <w:r>
        <w:t xml:space="preserve">Here we present a new </w:t>
      </w:r>
      <w:r w:rsidRPr="00A80000">
        <w:rPr>
          <w:rFonts w:ascii="Times New Roman" w:hAnsi="Times New Roman"/>
        </w:rPr>
        <w:t>δ</w:t>
      </w:r>
      <w:r w:rsidRPr="00A80000">
        <w:rPr>
          <w:vertAlign w:val="superscript"/>
        </w:rPr>
        <w:t>11</w:t>
      </w:r>
      <w:r w:rsidRPr="00A80000">
        <w:t>B</w:t>
      </w:r>
      <w:r w:rsidRPr="00A80000">
        <w:rPr>
          <w:vertAlign w:val="subscript"/>
        </w:rPr>
        <w:t>sw</w:t>
      </w:r>
      <w:r>
        <w:t xml:space="preserve"> record for the Neogene</w:t>
      </w:r>
      <w:r w:rsidR="006847B8">
        <w:t xml:space="preserve"> (0-23 Ma)</w:t>
      </w:r>
      <w:r>
        <w:t xml:space="preserve"> based on paired planktic-benthic </w:t>
      </w:r>
      <w:r w:rsidRPr="00E21A76">
        <w:rPr>
          <w:rFonts w:ascii="Times New Roman" w:hAnsi="Times New Roman"/>
        </w:rPr>
        <w:t>δ</w:t>
      </w:r>
      <w:r w:rsidRPr="00E21A76">
        <w:rPr>
          <w:vertAlign w:val="superscript"/>
        </w:rPr>
        <w:t>11</w:t>
      </w:r>
      <w:r w:rsidRPr="00E21A76">
        <w:t>B</w:t>
      </w:r>
      <w:r>
        <w:t xml:space="preserve"> measurements. Our new record suggests that </w:t>
      </w:r>
      <w:r w:rsidRPr="00804DC1">
        <w:rPr>
          <w:rFonts w:ascii="Times New Roman" w:hAnsi="Times New Roman"/>
        </w:rPr>
        <w:t>δ</w:t>
      </w:r>
      <w:r w:rsidRPr="00804DC1">
        <w:rPr>
          <w:vertAlign w:val="superscript"/>
        </w:rPr>
        <w:t>11</w:t>
      </w:r>
      <w:r w:rsidRPr="00804DC1">
        <w:t>B</w:t>
      </w:r>
      <w:r w:rsidRPr="00804DC1">
        <w:rPr>
          <w:vertAlign w:val="subscript"/>
        </w:rPr>
        <w:t>sw</w:t>
      </w:r>
      <w:r>
        <w:t xml:space="preserve"> </w:t>
      </w:r>
      <w:r w:rsidR="00044441">
        <w:t>(i) was</w:t>
      </w:r>
      <w:r>
        <w:t xml:space="preserve"> </w:t>
      </w:r>
      <w:r>
        <w:rPr>
          <w:rStyle w:val="st"/>
        </w:rPr>
        <w:t xml:space="preserve">~ </w:t>
      </w:r>
      <w:r w:rsidR="003F6A73">
        <w:rPr>
          <w:rStyle w:val="st"/>
        </w:rPr>
        <w:t>37</w:t>
      </w:r>
      <w:r w:rsidR="0049170F">
        <w:rPr>
          <w:rStyle w:val="st"/>
        </w:rPr>
        <w:t>.5</w:t>
      </w:r>
      <w:r>
        <w:rPr>
          <w:rStyle w:val="st"/>
        </w:rPr>
        <w:t xml:space="preserve"> ‰ at the Oligocene-Miocene boundary</w:t>
      </w:r>
      <w:r w:rsidR="006847B8">
        <w:rPr>
          <w:rStyle w:val="st"/>
        </w:rPr>
        <w:t xml:space="preserve"> (23 Ma)</w:t>
      </w:r>
      <w:r w:rsidR="00044441">
        <w:rPr>
          <w:rStyle w:val="st"/>
        </w:rPr>
        <w:t>,</w:t>
      </w:r>
      <w:r>
        <w:rPr>
          <w:rStyle w:val="st"/>
        </w:rPr>
        <w:t xml:space="preserve"> </w:t>
      </w:r>
      <w:r w:rsidR="00044441">
        <w:rPr>
          <w:rStyle w:val="st"/>
        </w:rPr>
        <w:t>(ii)</w:t>
      </w:r>
      <w:r>
        <w:rPr>
          <w:rStyle w:val="st"/>
        </w:rPr>
        <w:t xml:space="preserve"> </w:t>
      </w:r>
      <w:r w:rsidR="003F6A73">
        <w:rPr>
          <w:rStyle w:val="st"/>
        </w:rPr>
        <w:t>remain</w:t>
      </w:r>
      <w:r w:rsidR="00220BE9">
        <w:rPr>
          <w:rStyle w:val="st"/>
        </w:rPr>
        <w:t>ed</w:t>
      </w:r>
      <w:r w:rsidR="003F6A73">
        <w:rPr>
          <w:rStyle w:val="st"/>
        </w:rPr>
        <w:t xml:space="preserve"> low through the middle Miocene</w:t>
      </w:r>
      <w:r w:rsidR="006847B8">
        <w:rPr>
          <w:rStyle w:val="st"/>
        </w:rPr>
        <w:t xml:space="preserve"> (16-12 Ma)</w:t>
      </w:r>
      <w:r w:rsidR="00220BE9">
        <w:rPr>
          <w:rStyle w:val="st"/>
        </w:rPr>
        <w:t xml:space="preserve">, (iii) rapidly </w:t>
      </w:r>
      <w:r w:rsidR="00220BE9">
        <w:t>increase</w:t>
      </w:r>
      <w:r w:rsidR="003B4216">
        <w:t>d</w:t>
      </w:r>
      <w:r w:rsidR="00220BE9">
        <w:t xml:space="preserve"> to the modern value</w:t>
      </w:r>
      <w:r w:rsidR="006847B8">
        <w:t xml:space="preserve"> during the late Miocene</w:t>
      </w:r>
      <w:r w:rsidR="00220BE9">
        <w:t xml:space="preserve"> </w:t>
      </w:r>
      <w:r w:rsidR="006847B8">
        <w:t>(</w:t>
      </w:r>
      <w:r w:rsidR="00220BE9">
        <w:rPr>
          <w:rStyle w:val="st"/>
        </w:rPr>
        <w:t>between 12 and 5</w:t>
      </w:r>
      <w:r w:rsidR="0094758B">
        <w:rPr>
          <w:rStyle w:val="st"/>
        </w:rPr>
        <w:t xml:space="preserve"> </w:t>
      </w:r>
      <w:r w:rsidR="00220BE9">
        <w:rPr>
          <w:rStyle w:val="st"/>
        </w:rPr>
        <w:t>Ma</w:t>
      </w:r>
      <w:r w:rsidR="006847B8">
        <w:rPr>
          <w:rStyle w:val="st"/>
        </w:rPr>
        <w:t>)</w:t>
      </w:r>
      <w:r w:rsidR="00220BE9">
        <w:rPr>
          <w:rStyle w:val="st"/>
        </w:rPr>
        <w:t>, and (iv) plateaued at modern values over the Plio-Pleistocene</w:t>
      </w:r>
      <w:r w:rsidR="006847B8">
        <w:rPr>
          <w:rStyle w:val="st"/>
        </w:rPr>
        <w:t xml:space="preserve"> (5 Ma to present)</w:t>
      </w:r>
      <w:r w:rsidR="00220BE9">
        <w:rPr>
          <w:rStyle w:val="st"/>
        </w:rPr>
        <w:t>. Despite some disagreements,</w:t>
      </w:r>
      <w:r w:rsidR="00EC0AFC">
        <w:rPr>
          <w:rStyle w:val="st"/>
        </w:rPr>
        <w:t xml:space="preserve"> and different uncertainties associated with each approach,</w:t>
      </w:r>
      <w:r w:rsidR="00220BE9">
        <w:rPr>
          <w:rStyle w:val="st"/>
        </w:rPr>
        <w:t xml:space="preserve"> the fact that </w:t>
      </w:r>
      <w:r w:rsidR="00DD09BA">
        <w:rPr>
          <w:rStyle w:val="st"/>
        </w:rPr>
        <w:t xml:space="preserve">our new record, and both of the published </w:t>
      </w:r>
      <w:r w:rsidR="0094758B">
        <w:rPr>
          <w:rStyle w:val="st"/>
        </w:rPr>
        <w:t>data based</w:t>
      </w:r>
      <w:r w:rsidR="00220BE9">
        <w:rPr>
          <w:rStyle w:val="st"/>
        </w:rPr>
        <w:t xml:space="preserve"> reconstructions capture the first-order late Miocene </w:t>
      </w:r>
      <w:r w:rsidR="00220BE9" w:rsidRPr="00804DC1">
        <w:rPr>
          <w:rFonts w:ascii="Times New Roman" w:hAnsi="Times New Roman"/>
        </w:rPr>
        <w:t>δ</w:t>
      </w:r>
      <w:r w:rsidR="00220BE9" w:rsidRPr="00804DC1">
        <w:rPr>
          <w:vertAlign w:val="superscript"/>
        </w:rPr>
        <w:t>11</w:t>
      </w:r>
      <w:r w:rsidR="00220BE9" w:rsidRPr="00804DC1">
        <w:t>B</w:t>
      </w:r>
      <w:r w:rsidR="00220BE9" w:rsidRPr="00804DC1">
        <w:rPr>
          <w:vertAlign w:val="subscript"/>
        </w:rPr>
        <w:t>sw</w:t>
      </w:r>
      <w:r w:rsidR="00220BE9">
        <w:rPr>
          <w:rStyle w:val="st"/>
        </w:rPr>
        <w:t xml:space="preserve"> rise suggests that consensus is building for the </w:t>
      </w:r>
      <w:r w:rsidR="00220BE9" w:rsidRPr="00E21A76">
        <w:rPr>
          <w:rFonts w:ascii="Times New Roman" w:hAnsi="Times New Roman"/>
        </w:rPr>
        <w:t>δ</w:t>
      </w:r>
      <w:r w:rsidR="00220BE9" w:rsidRPr="00E21A76">
        <w:rPr>
          <w:vertAlign w:val="superscript"/>
        </w:rPr>
        <w:t>11</w:t>
      </w:r>
      <w:r w:rsidR="00220BE9" w:rsidRPr="00E21A76">
        <w:t>B</w:t>
      </w:r>
      <w:r w:rsidR="00220BE9" w:rsidRPr="00A80000">
        <w:rPr>
          <w:vertAlign w:val="subscript"/>
        </w:rPr>
        <w:t>sw</w:t>
      </w:r>
      <w:r w:rsidR="00220BE9">
        <w:rPr>
          <w:rStyle w:val="st"/>
        </w:rPr>
        <w:t xml:space="preserve"> evolution </w:t>
      </w:r>
      <w:r w:rsidR="00DD09BA">
        <w:rPr>
          <w:rStyle w:val="st"/>
        </w:rPr>
        <w:t>through the Neogene</w:t>
      </w:r>
      <w:r w:rsidR="00220BE9">
        <w:rPr>
          <w:rStyle w:val="st"/>
        </w:rPr>
        <w:t xml:space="preserve">. This emerging view on </w:t>
      </w:r>
      <w:r w:rsidR="00220BE9" w:rsidRPr="00AC3929">
        <w:rPr>
          <w:rStyle w:val="st"/>
          <w:color w:val="000000"/>
          <w:szCs w:val="18"/>
        </w:rPr>
        <w:t>δ</w:t>
      </w:r>
      <w:r w:rsidR="00220BE9" w:rsidRPr="00AC3929">
        <w:rPr>
          <w:rStyle w:val="st"/>
          <w:color w:val="000000"/>
          <w:szCs w:val="12"/>
          <w:vertAlign w:val="superscript"/>
        </w:rPr>
        <w:t>11</w:t>
      </w:r>
      <w:r w:rsidR="00220BE9" w:rsidRPr="00AC3929">
        <w:rPr>
          <w:rStyle w:val="st"/>
          <w:color w:val="000000"/>
          <w:szCs w:val="18"/>
        </w:rPr>
        <w:t>B</w:t>
      </w:r>
      <w:r w:rsidR="00220BE9">
        <w:rPr>
          <w:rStyle w:val="st"/>
          <w:color w:val="000000"/>
          <w:szCs w:val="18"/>
          <w:vertAlign w:val="subscript"/>
        </w:rPr>
        <w:t>sw</w:t>
      </w:r>
      <w:r w:rsidR="00220BE9">
        <w:rPr>
          <w:rStyle w:val="st"/>
        </w:rPr>
        <w:t xml:space="preserve"> change provides a vital constraint required to quantitatively reconstruct Neogene ocean pH, ocean carbon chemistry and atmospheric CO</w:t>
      </w:r>
      <w:r w:rsidR="00220BE9" w:rsidRPr="00AC3929">
        <w:rPr>
          <w:rStyle w:val="st"/>
          <w:vertAlign w:val="subscript"/>
        </w:rPr>
        <w:t>2</w:t>
      </w:r>
      <w:r w:rsidR="00220BE9">
        <w:rPr>
          <w:rStyle w:val="st"/>
        </w:rPr>
        <w:t xml:space="preserve"> using the </w:t>
      </w:r>
      <w:r w:rsidR="00220BE9" w:rsidRPr="00AC3929">
        <w:rPr>
          <w:rStyle w:val="st"/>
          <w:color w:val="000000"/>
          <w:szCs w:val="18"/>
        </w:rPr>
        <w:t>δ</w:t>
      </w:r>
      <w:r w:rsidR="00220BE9" w:rsidRPr="00AC3929">
        <w:rPr>
          <w:rStyle w:val="st"/>
          <w:color w:val="000000"/>
          <w:szCs w:val="12"/>
          <w:vertAlign w:val="superscript"/>
        </w:rPr>
        <w:t>11</w:t>
      </w:r>
      <w:r w:rsidR="00220BE9" w:rsidRPr="00AC3929">
        <w:rPr>
          <w:rStyle w:val="st"/>
          <w:color w:val="000000"/>
          <w:szCs w:val="18"/>
        </w:rPr>
        <w:t>B</w:t>
      </w:r>
      <w:r w:rsidR="00220BE9">
        <w:rPr>
          <w:rStyle w:val="st"/>
        </w:rPr>
        <w:t xml:space="preserve">-pH proxy. </w:t>
      </w:r>
      <w:r>
        <w:t xml:space="preserve">When </w:t>
      </w:r>
      <w:r w:rsidR="00DD09BA">
        <w:t xml:space="preserve">our </w:t>
      </w:r>
      <w:r>
        <w:t xml:space="preserve">new </w:t>
      </w:r>
      <w:r w:rsidRPr="000F436E">
        <w:rPr>
          <w:rFonts w:ascii="Times New Roman" w:hAnsi="Times New Roman"/>
        </w:rPr>
        <w:t>δ</w:t>
      </w:r>
      <w:r w:rsidRPr="000F436E">
        <w:rPr>
          <w:vertAlign w:val="superscript"/>
        </w:rPr>
        <w:t>11</w:t>
      </w:r>
      <w:r w:rsidRPr="000F436E">
        <w:t>B</w:t>
      </w:r>
      <w:r w:rsidRPr="000F436E">
        <w:rPr>
          <w:vertAlign w:val="subscript"/>
        </w:rPr>
        <w:t>sw</w:t>
      </w:r>
      <w:r>
        <w:t xml:space="preserve"> record is compared to changes in the seawater isotopic composition of Li</w:t>
      </w:r>
      <w:r w:rsidR="002A3991">
        <w:t>,</w:t>
      </w:r>
      <w:r>
        <w:t xml:space="preserve"> Ca</w:t>
      </w:r>
      <w:r w:rsidR="002A3991">
        <w:t xml:space="preserve"> and Mg</w:t>
      </w:r>
      <w:r>
        <w:t xml:space="preserve"> the shape of the records </w:t>
      </w:r>
      <w:r w:rsidR="0049170F">
        <w:t xml:space="preserve">across the </w:t>
      </w:r>
      <w:r w:rsidR="00A96B8A">
        <w:t>Neogene is</w:t>
      </w:r>
      <w:r>
        <w:t xml:space="preserve"> remarkably similar. </w:t>
      </w:r>
      <w:r w:rsidR="009F14D0">
        <w:t>For all four systems,</w:t>
      </w:r>
      <w:r>
        <w:t xml:space="preserve"> riverine input is </w:t>
      </w:r>
      <w:r w:rsidRPr="00804DC1">
        <w:t xml:space="preserve">cited </w:t>
      </w:r>
      <w:r w:rsidR="00CD4B3D">
        <w:t>a common and key</w:t>
      </w:r>
      <w:r w:rsidRPr="00804DC1">
        <w:t xml:space="preserve"> control of the isotopic composition of the</w:t>
      </w:r>
      <w:r w:rsidR="00CD4B3D">
        <w:t xml:space="preserve"> respective</w:t>
      </w:r>
      <w:r w:rsidRPr="00804DC1">
        <w:t xml:space="preserve"> elements in seawater. When we compare the isotopic fractionation of the elements associated with secondary mineral formation, the trends in the </w:t>
      </w:r>
      <w:r w:rsidRPr="00804DC1">
        <w:sym w:font="Symbol" w:char="0064"/>
      </w:r>
      <w:r w:rsidRPr="00804DC1">
        <w:rPr>
          <w:vertAlign w:val="superscript"/>
        </w:rPr>
        <w:t>26</w:t>
      </w:r>
      <w:r w:rsidRPr="00804DC1">
        <w:t>Mg</w:t>
      </w:r>
      <w:r w:rsidRPr="00804DC1">
        <w:rPr>
          <w:vertAlign w:val="subscript"/>
        </w:rPr>
        <w:t>sw</w:t>
      </w:r>
      <w:r w:rsidRPr="00804DC1">
        <w:t xml:space="preserve">, </w:t>
      </w:r>
      <w:r w:rsidRPr="00804DC1">
        <w:sym w:font="Symbol" w:char="0064"/>
      </w:r>
      <w:r w:rsidRPr="00804DC1">
        <w:rPr>
          <w:vertAlign w:val="superscript"/>
        </w:rPr>
        <w:t>44/40</w:t>
      </w:r>
      <w:r w:rsidRPr="00804DC1">
        <w:t>Ca</w:t>
      </w:r>
      <w:r w:rsidRPr="00804DC1">
        <w:rPr>
          <w:vertAlign w:val="subscript"/>
        </w:rPr>
        <w:t>sw</w:t>
      </w:r>
      <w:r w:rsidRPr="00804DC1">
        <w:t xml:space="preserve"> </w:t>
      </w:r>
      <w:r w:rsidRPr="00804DC1">
        <w:rPr>
          <w:rFonts w:ascii="Times New Roman" w:hAnsi="Times New Roman"/>
        </w:rPr>
        <w:t>δ</w:t>
      </w:r>
      <w:r w:rsidRPr="00804DC1">
        <w:rPr>
          <w:vertAlign w:val="superscript"/>
        </w:rPr>
        <w:t>11</w:t>
      </w:r>
      <w:r w:rsidRPr="00804DC1">
        <w:t>B</w:t>
      </w:r>
      <w:r w:rsidRPr="00804DC1">
        <w:rPr>
          <w:vertAlign w:val="subscript"/>
        </w:rPr>
        <w:t>sw</w:t>
      </w:r>
      <w:r w:rsidRPr="00804DC1">
        <w:t xml:space="preserve"> and </w:t>
      </w:r>
      <w:r w:rsidRPr="00804DC1">
        <w:rPr>
          <w:rFonts w:ascii="Times New Roman" w:hAnsi="Times New Roman"/>
        </w:rPr>
        <w:t>δ</w:t>
      </w:r>
      <w:r w:rsidRPr="00804DC1">
        <w:rPr>
          <w:vertAlign w:val="superscript"/>
        </w:rPr>
        <w:t>7</w:t>
      </w:r>
      <w:r w:rsidRPr="00804DC1">
        <w:t>Li</w:t>
      </w:r>
      <w:r w:rsidRPr="00804DC1">
        <w:rPr>
          <w:vertAlign w:val="subscript"/>
        </w:rPr>
        <w:t xml:space="preserve">sw </w:t>
      </w:r>
      <w:r w:rsidRPr="00804DC1">
        <w:t>records are all consistent</w:t>
      </w:r>
      <w:r>
        <w:t xml:space="preserve"> with an increase in secondary m</w:t>
      </w:r>
      <w:r w:rsidRPr="00804DC1">
        <w:t>ineral formation through time.</w:t>
      </w:r>
      <w:r>
        <w:t xml:space="preserve"> </w:t>
      </w:r>
      <w:r w:rsidR="00124FEA">
        <w:t>Whil</w:t>
      </w:r>
      <w:r w:rsidR="006C4B21">
        <w:t>e</w:t>
      </w:r>
      <w:r w:rsidR="00124FEA">
        <w:t xml:space="preserve"> a more</w:t>
      </w:r>
      <w:r w:rsidR="00124FEA" w:rsidRPr="00676D7A">
        <w:t xml:space="preserve"> qua</w:t>
      </w:r>
      <w:r w:rsidR="00124FEA">
        <w:t>n</w:t>
      </w:r>
      <w:r w:rsidR="00124FEA" w:rsidRPr="00676D7A">
        <w:t>t</w:t>
      </w:r>
      <w:r w:rsidR="00124FEA">
        <w:t>it</w:t>
      </w:r>
      <w:r w:rsidR="00124FEA" w:rsidRPr="00676D7A">
        <w:t xml:space="preserve">ative treatment of </w:t>
      </w:r>
      <w:r w:rsidR="00124FEA">
        <w:t xml:space="preserve">these </w:t>
      </w:r>
      <w:r w:rsidR="00124FEA" w:rsidRPr="00676D7A">
        <w:t xml:space="preserve">multiple stable isotope systems </w:t>
      </w:r>
      <w:r w:rsidR="00124FEA">
        <w:t xml:space="preserve">is </w:t>
      </w:r>
      <w:r w:rsidR="00124FEA" w:rsidRPr="00676D7A">
        <w:t>require</w:t>
      </w:r>
      <w:r w:rsidR="00124FEA">
        <w:t>d, t</w:t>
      </w:r>
      <w:r w:rsidR="00124FEA" w:rsidRPr="00676D7A">
        <w:t>he</w:t>
      </w:r>
      <w:r w:rsidR="00124FEA">
        <w:t xml:space="preserve"> </w:t>
      </w:r>
      <w:r w:rsidR="00124FEA">
        <w:rPr>
          <w:rFonts w:ascii="Times New Roman" w:hAnsi="Times New Roman"/>
        </w:rPr>
        <w:t>δ</w:t>
      </w:r>
      <w:r w:rsidR="00124FEA">
        <w:rPr>
          <w:vertAlign w:val="superscript"/>
        </w:rPr>
        <w:t>11</w:t>
      </w:r>
      <w:r w:rsidR="00124FEA">
        <w:t>B</w:t>
      </w:r>
      <w:r w:rsidR="00124FEA">
        <w:rPr>
          <w:vertAlign w:val="subscript"/>
        </w:rPr>
        <w:t>sw</w:t>
      </w:r>
      <w:r w:rsidR="00124FEA">
        <w:t xml:space="preserve"> record presented here provides additional </w:t>
      </w:r>
      <w:r w:rsidR="00124FEA" w:rsidRPr="00676D7A">
        <w:t>constraint</w:t>
      </w:r>
      <w:r w:rsidR="00124FEA">
        <w:t>s</w:t>
      </w:r>
      <w:r w:rsidR="00124FEA" w:rsidRPr="00676D7A">
        <w:t xml:space="preserve"> on the processes responsible for the evolution of ocean chemistry through time.  </w:t>
      </w:r>
    </w:p>
    <w:p w14:paraId="67627CBF" w14:textId="77777777" w:rsidR="00890BBC" w:rsidRDefault="00890BBC" w:rsidP="00890BBC">
      <w:pPr>
        <w:spacing w:line="480" w:lineRule="auto"/>
        <w:rPr>
          <w:b/>
        </w:rPr>
      </w:pPr>
      <w:r w:rsidRPr="004E37EF">
        <w:rPr>
          <w:b/>
        </w:rPr>
        <w:t>Acknowledgements:</w:t>
      </w:r>
    </w:p>
    <w:p w14:paraId="0E4ECB2B" w14:textId="441628B6" w:rsidR="00890BBC" w:rsidRPr="00AD330D" w:rsidRDefault="00890BBC" w:rsidP="00AD330D">
      <w:pPr>
        <w:widowControl w:val="0"/>
        <w:autoSpaceDE w:val="0"/>
        <w:autoSpaceDN w:val="0"/>
        <w:adjustRightInd w:val="0"/>
        <w:rPr>
          <w:rFonts w:ascii="Times New Roman" w:hAnsi="Times New Roman"/>
          <w:sz w:val="28"/>
          <w:szCs w:val="28"/>
        </w:rPr>
      </w:pPr>
      <w:r w:rsidRPr="008E161B">
        <w:rPr>
          <w:rFonts w:ascii="Times New Roman" w:hAnsi="Times New Roman"/>
        </w:rPr>
        <w:t xml:space="preserve">This work used samples provided by (I)ODP, which is sponsored by the U.S. National Science Foundation and participating countries under the management of Joint Oceanographic Institutions, Inc. We thank W. Hale and A. Wuelbers of the Bremen Core Repository for their kind assistance. The work was supported by NERC grants NE/I006176/1 (G.L.F. and C.H.L.), </w:t>
      </w:r>
      <w:r w:rsidR="008E161B" w:rsidRPr="008E161B">
        <w:rPr>
          <w:rFonts w:ascii="Times New Roman" w:eastAsiaTheme="minorEastAsia" w:hAnsi="Times New Roman"/>
          <w:lang w:val="en-US" w:eastAsia="ja-JP"/>
        </w:rPr>
        <w:t>NE/H006273/1</w:t>
      </w:r>
      <w:r w:rsidRPr="008E161B">
        <w:rPr>
          <w:rFonts w:ascii="Times New Roman" w:hAnsi="Times New Roman"/>
        </w:rPr>
        <w:t xml:space="preserve"> (</w:t>
      </w:r>
      <w:r w:rsidR="008E161B" w:rsidRPr="008E161B">
        <w:rPr>
          <w:rFonts w:ascii="Times New Roman" w:hAnsi="Times New Roman"/>
        </w:rPr>
        <w:t>G.L.F</w:t>
      </w:r>
      <w:r w:rsidRPr="008E161B">
        <w:rPr>
          <w:rFonts w:ascii="Times New Roman" w:hAnsi="Times New Roman"/>
        </w:rPr>
        <w:t xml:space="preserve">), </w:t>
      </w:r>
      <w:r w:rsidR="008E161B" w:rsidRPr="008E161B">
        <w:rPr>
          <w:rFonts w:ascii="Times New Roman" w:eastAsiaTheme="minorEastAsia" w:hAnsi="Times New Roman"/>
          <w:lang w:val="en-US" w:eastAsia="ja-JP"/>
        </w:rPr>
        <w:t>NE/I006168/1 and NE/K014137/1</w:t>
      </w:r>
      <w:r w:rsidR="003B4216">
        <w:rPr>
          <w:rFonts w:ascii="Times New Roman" w:eastAsiaTheme="minorEastAsia" w:hAnsi="Times New Roman"/>
          <w:lang w:val="en-US" w:eastAsia="ja-JP"/>
        </w:rPr>
        <w:t xml:space="preserve"> </w:t>
      </w:r>
      <w:r w:rsidR="003B4216">
        <w:rPr>
          <w:rFonts w:ascii="Times New Roman" w:hAnsi="Times New Roman"/>
        </w:rPr>
        <w:t>and a Royal Society Research Merit Award</w:t>
      </w:r>
      <w:r w:rsidR="008E161B" w:rsidRPr="008E161B">
        <w:rPr>
          <w:rFonts w:ascii="Times New Roman" w:hAnsi="Times New Roman"/>
        </w:rPr>
        <w:t xml:space="preserve"> </w:t>
      </w:r>
      <w:r w:rsidRPr="008E161B">
        <w:rPr>
          <w:rFonts w:ascii="Times New Roman" w:hAnsi="Times New Roman"/>
        </w:rPr>
        <w:t>(P.A.W)</w:t>
      </w:r>
      <w:r w:rsidR="008E161B" w:rsidRPr="008E161B">
        <w:rPr>
          <w:rFonts w:ascii="Times New Roman" w:hAnsi="Times New Roman"/>
        </w:rPr>
        <w:t xml:space="preserve">, a </w:t>
      </w:r>
      <w:r w:rsidR="008E161B" w:rsidRPr="008E161B">
        <w:rPr>
          <w:rFonts w:ascii="Times New Roman" w:eastAsiaTheme="minorEastAsia" w:hAnsi="Times New Roman"/>
          <w:lang w:val="en-US" w:eastAsia="ja-JP"/>
        </w:rPr>
        <w:t xml:space="preserve">NERC </w:t>
      </w:r>
      <w:r w:rsidR="008E161B" w:rsidRPr="00AD330D">
        <w:rPr>
          <w:rFonts w:ascii="Times New Roman" w:eastAsiaTheme="minorEastAsia" w:hAnsi="Times New Roman"/>
          <w:lang w:val="en-US" w:eastAsia="ja-JP"/>
        </w:rPr>
        <w:t>Independent Research Fellowship NE/K00901X/1 (M.P.H.)</w:t>
      </w:r>
      <w:r w:rsidRPr="00AD330D">
        <w:rPr>
          <w:rFonts w:ascii="Times New Roman" w:hAnsi="Times New Roman"/>
        </w:rPr>
        <w:t xml:space="preserve"> and a NERC studentship (R.G). Matthew Cooper, J. Andy Milton, and the B-team are acknowledged for their assistance in the laboratory. </w:t>
      </w:r>
      <w:r w:rsidR="00AD330D" w:rsidRPr="00AD330D">
        <w:rPr>
          <w:rFonts w:ascii="Times New Roman" w:hAnsi="Times New Roman"/>
        </w:rPr>
        <w:t xml:space="preserve"> We thank two anonymous reviewers and </w:t>
      </w:r>
      <w:r w:rsidR="009A3090">
        <w:rPr>
          <w:rFonts w:ascii="Times New Roman" w:hAnsi="Times New Roman"/>
        </w:rPr>
        <w:t xml:space="preserve">Philip </w:t>
      </w:r>
      <w:r w:rsidR="00AD330D" w:rsidRPr="00AD330D">
        <w:rPr>
          <w:rFonts w:ascii="Times New Roman" w:hAnsi="Times New Roman"/>
        </w:rPr>
        <w:t>Pogge von Strandmann for their helpful suggestions that improved the manuscript.</w:t>
      </w:r>
      <w:r w:rsidR="00AD330D">
        <w:rPr>
          <w:rFonts w:ascii="Times New Roman" w:hAnsi="Times New Roman"/>
          <w:sz w:val="28"/>
          <w:szCs w:val="28"/>
        </w:rPr>
        <w:t xml:space="preserve"> </w:t>
      </w:r>
    </w:p>
    <w:p w14:paraId="02DB5248" w14:textId="77777777" w:rsidR="00890BBC" w:rsidRDefault="00890BBC" w:rsidP="00D640FC">
      <w:pPr>
        <w:rPr>
          <w:b/>
        </w:rPr>
      </w:pPr>
    </w:p>
    <w:p w14:paraId="2C26F10A" w14:textId="77777777" w:rsidR="00890BBC" w:rsidRDefault="00890BBC" w:rsidP="00D640FC">
      <w:pPr>
        <w:rPr>
          <w:b/>
        </w:rPr>
      </w:pPr>
    </w:p>
    <w:p w14:paraId="573393BC" w14:textId="5FA42EB6" w:rsidR="00D640FC" w:rsidRPr="00515A21" w:rsidRDefault="00D640FC" w:rsidP="00D640FC">
      <w:pPr>
        <w:rPr>
          <w:b/>
        </w:rPr>
      </w:pPr>
      <w:r w:rsidRPr="00515A21">
        <w:rPr>
          <w:b/>
        </w:rPr>
        <w:t>References:</w:t>
      </w:r>
    </w:p>
    <w:p w14:paraId="2D687BB2" w14:textId="77777777" w:rsidR="00747895" w:rsidRDefault="00747895" w:rsidP="0060107E">
      <w:pPr>
        <w:pStyle w:val="EndNoteBibliography"/>
        <w:ind w:left="567" w:hanging="567"/>
        <w:rPr>
          <w:noProof/>
        </w:rPr>
      </w:pPr>
      <w:r w:rsidRPr="005D5FEA">
        <w:rPr>
          <w:noProof/>
        </w:rPr>
        <w:t>Al-Rousan, S., Pätzold, J., Al-Moghrabi, S., and Wefer, G., 2004, Invasion of anthropogenic CO</w:t>
      </w:r>
      <w:r w:rsidRPr="005D5FEA">
        <w:rPr>
          <w:noProof/>
          <w:vertAlign w:val="subscript"/>
        </w:rPr>
        <w:t>2</w:t>
      </w:r>
      <w:r w:rsidRPr="005D5FEA">
        <w:rPr>
          <w:noProof/>
        </w:rPr>
        <w:t xml:space="preserve"> recorded in planktonic foraminifera from the northern Gulf of Aqaba: International Journal of Earth Sciences, v. 93, no. 6, p. 1066-1076.</w:t>
      </w:r>
    </w:p>
    <w:p w14:paraId="39FFAE04" w14:textId="3FEA864F" w:rsidR="00811286" w:rsidRPr="005D5FEA" w:rsidRDefault="00811286" w:rsidP="0060107E">
      <w:pPr>
        <w:pStyle w:val="EndNoteBibliography"/>
        <w:ind w:left="567" w:hanging="567"/>
        <w:rPr>
          <w:noProof/>
        </w:rPr>
      </w:pPr>
      <w:r>
        <w:rPr>
          <w:noProof/>
        </w:rPr>
        <w:t xml:space="preserve">Anagnostou, E., John, E.H., Edgar, K.M., Foster, G.L., Ridgewell, A., Inglis, G.N., Pancost, R.D., Lunt, D.J., Pearson, P.N., 2016, </w:t>
      </w:r>
      <w:r w:rsidRPr="00811286">
        <w:rPr>
          <w:rFonts w:ascii="Times New Roman" w:eastAsiaTheme="minorEastAsia" w:hAnsi="Times New Roman"/>
          <w:color w:val="1A1A1A"/>
          <w:lang w:eastAsia="ja-JP"/>
        </w:rPr>
        <w:t>Changing atmospheric CO</w:t>
      </w:r>
      <w:r w:rsidRPr="00811286">
        <w:rPr>
          <w:rFonts w:ascii="Times New Roman" w:eastAsiaTheme="minorEastAsia" w:hAnsi="Times New Roman"/>
          <w:color w:val="1A1A1A"/>
          <w:vertAlign w:val="subscript"/>
          <w:lang w:eastAsia="ja-JP"/>
        </w:rPr>
        <w:t>2</w:t>
      </w:r>
      <w:r w:rsidRPr="00811286">
        <w:rPr>
          <w:rFonts w:ascii="Times New Roman" w:eastAsiaTheme="minorEastAsia" w:hAnsi="Times New Roman"/>
          <w:color w:val="1A1A1A"/>
          <w:lang w:eastAsia="ja-JP"/>
        </w:rPr>
        <w:t xml:space="preserve"> concentration was the primary driver of early Cenozoic climate</w:t>
      </w:r>
      <w:r>
        <w:rPr>
          <w:rFonts w:ascii="Times New Roman" w:eastAsiaTheme="minorEastAsia" w:hAnsi="Times New Roman"/>
          <w:color w:val="1A1A1A"/>
          <w:lang w:eastAsia="ja-JP"/>
        </w:rPr>
        <w:t>, v.</w:t>
      </w:r>
      <w:r w:rsidR="00F75991">
        <w:rPr>
          <w:rFonts w:ascii="Times New Roman" w:eastAsiaTheme="minorEastAsia" w:hAnsi="Times New Roman"/>
          <w:color w:val="1A1A1A"/>
          <w:lang w:eastAsia="ja-JP"/>
        </w:rPr>
        <w:t xml:space="preserve"> 533, p. 380-384.</w:t>
      </w:r>
    </w:p>
    <w:p w14:paraId="1C5E2313" w14:textId="5FE6840B" w:rsidR="00747895" w:rsidRDefault="00747895" w:rsidP="0060107E">
      <w:pPr>
        <w:pStyle w:val="EndNoteBibliography"/>
        <w:ind w:left="567" w:hanging="567"/>
        <w:rPr>
          <w:rStyle w:val="st"/>
          <w:rFonts w:eastAsia="Times New Roman"/>
        </w:rPr>
      </w:pPr>
      <w:r w:rsidRPr="005D5FEA">
        <w:rPr>
          <w:noProof/>
        </w:rPr>
        <w:t>Anand, P., Elderfield, H., and Conte, M. H., 2003, Calibration of Mg/Ca thermometry in planktonic foraminifera from a sediment trap time series: Paleoce</w:t>
      </w:r>
      <w:r w:rsidR="005D5FEA">
        <w:rPr>
          <w:noProof/>
        </w:rPr>
        <w:t>anography, v. 18, no. 2,</w:t>
      </w:r>
      <w:r w:rsidR="005D5FEA" w:rsidRPr="005D5FEA">
        <w:rPr>
          <w:noProof/>
        </w:rPr>
        <w:t xml:space="preserve"> </w:t>
      </w:r>
      <w:r w:rsidR="005D5FEA" w:rsidRPr="005D5FEA">
        <w:rPr>
          <w:rStyle w:val="Emphasis"/>
          <w:rFonts w:eastAsia="Times New Roman"/>
          <w:i w:val="0"/>
        </w:rPr>
        <w:t>DOI</w:t>
      </w:r>
      <w:r w:rsidR="005D5FEA">
        <w:rPr>
          <w:rStyle w:val="st"/>
          <w:rFonts w:eastAsia="Times New Roman"/>
        </w:rPr>
        <w:t>: 10.1029/2002PA000846.</w:t>
      </w:r>
    </w:p>
    <w:p w14:paraId="1ADA5DC8" w14:textId="433B6087" w:rsidR="001F2874" w:rsidRDefault="00C26426" w:rsidP="0060107E">
      <w:pPr>
        <w:pStyle w:val="EndNoteBibliography"/>
        <w:ind w:left="567" w:hanging="567"/>
      </w:pPr>
      <w:r>
        <w:rPr>
          <w:rStyle w:val="st"/>
        </w:rPr>
        <w:t xml:space="preserve">Bartoli, G., </w:t>
      </w:r>
      <w:r w:rsidR="00993673">
        <w:rPr>
          <w:rStyle w:val="st"/>
        </w:rPr>
        <w:t>Hönisch</w:t>
      </w:r>
      <w:r>
        <w:rPr>
          <w:rStyle w:val="st"/>
        </w:rPr>
        <w:t xml:space="preserve">, B., Zeebe, R.E., 2011, </w:t>
      </w:r>
      <w:r w:rsidRPr="00C26426">
        <w:t>Atmospheric CO</w:t>
      </w:r>
      <w:r w:rsidRPr="00C26426">
        <w:rPr>
          <w:vertAlign w:val="subscript"/>
        </w:rPr>
        <w:t>2</w:t>
      </w:r>
      <w:r w:rsidRPr="00C26426">
        <w:t xml:space="preserve"> decline during the Pliocene intensification</w:t>
      </w:r>
      <w:r>
        <w:t xml:space="preserve"> </w:t>
      </w:r>
      <w:r w:rsidRPr="00C26426">
        <w:t>of Northern Hemisphere glaciations</w:t>
      </w:r>
      <w:r w:rsidR="00641E9A" w:rsidRPr="005D5FEA">
        <w:rPr>
          <w:noProof/>
        </w:rPr>
        <w:t>: Paleoce</w:t>
      </w:r>
      <w:r w:rsidR="00641E9A">
        <w:rPr>
          <w:noProof/>
        </w:rPr>
        <w:t>anography</w:t>
      </w:r>
      <w:r>
        <w:t xml:space="preserve">, v.26, DOI: </w:t>
      </w:r>
      <w:r w:rsidRPr="00C26426">
        <w:t>10.1029/2010PA002055</w:t>
      </w:r>
      <w:r>
        <w:t>.</w:t>
      </w:r>
      <w:r w:rsidR="001F2874">
        <w:t xml:space="preserve">  </w:t>
      </w:r>
    </w:p>
    <w:p w14:paraId="11A5B70F" w14:textId="1FEE2529" w:rsidR="003637BE" w:rsidRPr="003637BE" w:rsidRDefault="00C26426" w:rsidP="0060107E">
      <w:pPr>
        <w:pStyle w:val="EndNoteBibliography"/>
        <w:ind w:left="567" w:hanging="567"/>
      </w:pPr>
      <w:r w:rsidRPr="003637BE">
        <w:t>Badger, M. P. S., Lear, C.H., Pancost, R.D., Foster, G.L., Bailey, T.R., Leng, M.J., and Abels, H.A.,</w:t>
      </w:r>
      <w:r w:rsidRPr="003637BE">
        <w:rPr>
          <w:i/>
          <w:iCs/>
        </w:rPr>
        <w:t xml:space="preserve"> </w:t>
      </w:r>
      <w:r w:rsidRPr="003637BE">
        <w:rPr>
          <w:iCs/>
        </w:rPr>
        <w:t xml:space="preserve">2013, </w:t>
      </w:r>
      <w:r w:rsidRPr="003637BE">
        <w:t>CO</w:t>
      </w:r>
      <w:r w:rsidRPr="003637BE">
        <w:rPr>
          <w:vertAlign w:val="subscript"/>
        </w:rPr>
        <w:t>2</w:t>
      </w:r>
      <w:r w:rsidRPr="003637BE">
        <w:t xml:space="preserve"> drawdown following the middle Miocene expansion of the Antarctic Ice Sheet</w:t>
      </w:r>
      <w:r w:rsidR="00641E9A">
        <w:t>:</w:t>
      </w:r>
      <w:r w:rsidRPr="003637BE">
        <w:t xml:space="preserve"> </w:t>
      </w:r>
      <w:r w:rsidRPr="003637BE">
        <w:rPr>
          <w:iCs/>
        </w:rPr>
        <w:t>Paleoceanography,</w:t>
      </w:r>
      <w:r w:rsidRPr="003637BE">
        <w:t xml:space="preserve"> v. </w:t>
      </w:r>
      <w:r w:rsidRPr="003637BE">
        <w:rPr>
          <w:bCs/>
        </w:rPr>
        <w:t>28</w:t>
      </w:r>
      <w:r w:rsidRPr="003637BE">
        <w:t>, doi:10.1002/palo.20015.</w:t>
      </w:r>
    </w:p>
    <w:p w14:paraId="0D94DCAE" w14:textId="77777777" w:rsidR="003637BE" w:rsidRPr="003637BE" w:rsidRDefault="003637BE" w:rsidP="0060107E">
      <w:pPr>
        <w:pStyle w:val="EndNoteBibliography"/>
        <w:ind w:left="567" w:hanging="567"/>
        <w:rPr>
          <w:noProof/>
        </w:rPr>
      </w:pPr>
      <w:r w:rsidRPr="003637BE">
        <w:rPr>
          <w:noProof/>
        </w:rPr>
        <w:t>Beerling, D. J., and Royer, D. L., 2011, Convergent Cenozoic CO</w:t>
      </w:r>
      <w:r w:rsidRPr="003637BE">
        <w:rPr>
          <w:noProof/>
          <w:vertAlign w:val="subscript"/>
        </w:rPr>
        <w:t>2</w:t>
      </w:r>
      <w:r w:rsidRPr="003637BE">
        <w:rPr>
          <w:noProof/>
        </w:rPr>
        <w:t xml:space="preserve"> history: Nature Geosci, v. 4, no. 7, p. 418-420.</w:t>
      </w:r>
    </w:p>
    <w:p w14:paraId="62744759" w14:textId="22E2B589" w:rsidR="00747895" w:rsidRPr="003637BE" w:rsidRDefault="00747895" w:rsidP="00631B5A">
      <w:pPr>
        <w:pStyle w:val="EndNoteBibliography"/>
        <w:ind w:left="709" w:hanging="709"/>
      </w:pPr>
      <w:r w:rsidRPr="003637BE">
        <w:rPr>
          <w:noProof/>
        </w:rPr>
        <w:t xml:space="preserve">Berner, R. A., and Kothavala, Z., 2001, GEOCARB III: A revised model of </w:t>
      </w:r>
      <w:r w:rsidR="00C26426" w:rsidRPr="003637BE">
        <w:rPr>
          <w:noProof/>
        </w:rPr>
        <w:t xml:space="preserve">  </w:t>
      </w:r>
      <w:r w:rsidRPr="003637BE">
        <w:rPr>
          <w:noProof/>
        </w:rPr>
        <w:t>atmospheric CO</w:t>
      </w:r>
      <w:r w:rsidRPr="003637BE">
        <w:rPr>
          <w:noProof/>
          <w:vertAlign w:val="subscript"/>
        </w:rPr>
        <w:t>2</w:t>
      </w:r>
      <w:r w:rsidRPr="003637BE">
        <w:rPr>
          <w:noProof/>
        </w:rPr>
        <w:t xml:space="preserve"> over </w:t>
      </w:r>
      <w:r w:rsidR="00181A2E" w:rsidRPr="003637BE">
        <w:rPr>
          <w:noProof/>
        </w:rPr>
        <w:t>P</w:t>
      </w:r>
      <w:r w:rsidRPr="003637BE">
        <w:rPr>
          <w:noProof/>
        </w:rPr>
        <w:t xml:space="preserve">hanerozoic time: American Journal of Science, v. 301, no. 2, p. 182-204.   </w:t>
      </w:r>
    </w:p>
    <w:p w14:paraId="21E20B0F" w14:textId="77777777" w:rsidR="00747895" w:rsidRPr="003637BE" w:rsidRDefault="00747895" w:rsidP="001E2047">
      <w:pPr>
        <w:pStyle w:val="EndNoteBibliography"/>
        <w:ind w:left="709" w:hanging="709"/>
        <w:rPr>
          <w:rFonts w:ascii="Times New Roman" w:eastAsia="Times New Roman" w:hAnsi="Times New Roman"/>
          <w:iCs/>
        </w:rPr>
      </w:pPr>
      <w:r w:rsidRPr="003637BE">
        <w:rPr>
          <w:rFonts w:ascii="Times New Roman" w:eastAsia="Times New Roman" w:hAnsi="Times New Roman"/>
        </w:rPr>
        <w:t>Brennan S. T., Lowenstein T. K., Cendón D. I.</w:t>
      </w:r>
      <w:r w:rsidRPr="003637BE">
        <w:rPr>
          <w:rFonts w:ascii="Times New Roman" w:eastAsia="Times New Roman" w:hAnsi="Times New Roman"/>
          <w:iCs/>
        </w:rPr>
        <w:t xml:space="preserve">, 2013, The major-ion composition of Cenozoic seawater: the past 36 million years from fluid inclusions in marine halite: American Journal of Science, v. 313, p. 713–775.  </w:t>
      </w:r>
    </w:p>
    <w:p w14:paraId="65A0172B" w14:textId="50F97260" w:rsidR="001E2047" w:rsidRPr="001E2047" w:rsidRDefault="001E2047" w:rsidP="001E2047">
      <w:pPr>
        <w:spacing w:after="0" w:line="240" w:lineRule="auto"/>
        <w:ind w:left="709" w:hanging="709"/>
        <w:rPr>
          <w:rFonts w:ascii="Times New Roman" w:hAnsi="Times New Roman"/>
        </w:rPr>
      </w:pPr>
      <w:r w:rsidRPr="001E2047">
        <w:rPr>
          <w:rFonts w:ascii="Times New Roman" w:hAnsi="Times New Roman"/>
        </w:rPr>
        <w:t>Broecker, W. S. and T. H. Peng, 1982, Tracers in the Sea, Lamont-Doherty Earth Observatory, Palisades, N. Y.</w:t>
      </w:r>
    </w:p>
    <w:p w14:paraId="1323FA87" w14:textId="77777777" w:rsidR="0096365E" w:rsidRDefault="00747895" w:rsidP="00631B5A">
      <w:pPr>
        <w:pStyle w:val="EndNoteBibliography"/>
        <w:ind w:left="709" w:hanging="709"/>
      </w:pPr>
      <w:r w:rsidRPr="00333322">
        <w:t>Burton, K.W., Vigier, N., 2012, Lithium isotopes as tracers in Marine and terrestrial environments, Handbook of Environmental Isotope Geochemistry, Springer, Berlin, Heidelberg, p. 41–59.</w:t>
      </w:r>
      <w:r w:rsidR="0096365E" w:rsidRPr="00333322">
        <w:t xml:space="preserve"> </w:t>
      </w:r>
    </w:p>
    <w:p w14:paraId="0B651612" w14:textId="64BFBC0C" w:rsidR="00EC78C6" w:rsidRPr="00333322" w:rsidRDefault="00EC78C6" w:rsidP="00631B5A">
      <w:pPr>
        <w:pStyle w:val="EndNoteBibliography"/>
        <w:ind w:left="709" w:hanging="709"/>
      </w:pPr>
      <w:r>
        <w:rPr>
          <w:rStyle w:val="textrecord"/>
          <w:rFonts w:eastAsia="Times New Roman"/>
        </w:rPr>
        <w:t xml:space="preserve">CARINA Group, 2009, Carbon in the Atlantic Ocean Region - the CARINA project: Results and Data, Version 1.0: Carbon Dioxide Information Analysis Center, </w:t>
      </w:r>
      <w:r>
        <w:rPr>
          <w:rFonts w:eastAsia="Times New Roman"/>
        </w:rPr>
        <w:br/>
      </w:r>
      <w:r>
        <w:rPr>
          <w:rStyle w:val="textrecord"/>
          <w:rFonts w:eastAsia="Times New Roman"/>
        </w:rPr>
        <w:t>Oak Ridge National Laboratory, U.S. Department of Energy, Oak Ridge, Tennessee. doi: 10.3334/CDIAC/otg.CARINA.ATL.V1.0</w:t>
      </w:r>
    </w:p>
    <w:p w14:paraId="31099621" w14:textId="01883B7B" w:rsidR="0096365E" w:rsidRPr="00333322" w:rsidRDefault="00747895" w:rsidP="00631B5A">
      <w:pPr>
        <w:pStyle w:val="EndNoteBibliography"/>
        <w:ind w:left="709" w:hanging="709"/>
        <w:rPr>
          <w:noProof/>
        </w:rPr>
      </w:pPr>
      <w:r w:rsidRPr="00333322">
        <w:rPr>
          <w:noProof/>
        </w:rPr>
        <w:t>Catanzaro, E. J., Champion, C., Garner, E., Marinenko, G., Sappenfield, K., and W., S., 1970, Boric Acid: Isotopic and Assay Standard Reference Materials  NBS (US) Special Publications. National Bureau of Standards, Institute for Materials Research, Washington, DC.</w:t>
      </w:r>
    </w:p>
    <w:p w14:paraId="4E964BB8" w14:textId="5F650DAE" w:rsidR="00747895" w:rsidRDefault="00747895" w:rsidP="00747895">
      <w:pPr>
        <w:pStyle w:val="EndNoteBibliography"/>
        <w:ind w:left="720" w:hanging="720"/>
        <w:rPr>
          <w:rStyle w:val="Emphasis"/>
          <w:rFonts w:ascii="Times New Roman" w:eastAsia="Times New Roman" w:hAnsi="Times New Roman"/>
          <w:i w:val="0"/>
        </w:rPr>
      </w:pPr>
      <w:r w:rsidRPr="00333322">
        <w:rPr>
          <w:rFonts w:ascii="Times New Roman" w:hAnsi="Times New Roman"/>
          <w:noProof/>
        </w:rPr>
        <w:t>Cramer, B., Miller, K., Barrett, P., and Wright, J., 2011, Late Cretaceous-Neogene trends in deep ocean temperature and continental ice volume: Reconciling records of benthic foraminiferal geochemistry (δ</w:t>
      </w:r>
      <w:r w:rsidRPr="00333322">
        <w:rPr>
          <w:rFonts w:ascii="Times New Roman" w:hAnsi="Times New Roman"/>
          <w:noProof/>
          <w:vertAlign w:val="superscript"/>
        </w:rPr>
        <w:t>18</w:t>
      </w:r>
      <w:r w:rsidRPr="00333322">
        <w:rPr>
          <w:rFonts w:ascii="Times New Roman" w:hAnsi="Times New Roman"/>
          <w:noProof/>
        </w:rPr>
        <w:t>O and Mg/Ca) with sea level history: Journal of Geop</w:t>
      </w:r>
      <w:r w:rsidR="005D5FEA" w:rsidRPr="00333322">
        <w:rPr>
          <w:rFonts w:ascii="Times New Roman" w:hAnsi="Times New Roman"/>
          <w:noProof/>
        </w:rPr>
        <w:t xml:space="preserve">hysical Research-Oceans, v. 116, </w:t>
      </w:r>
      <w:r w:rsidR="005D5FEA" w:rsidRPr="00333322">
        <w:rPr>
          <w:rStyle w:val="Emphasis"/>
          <w:rFonts w:ascii="Times New Roman" w:eastAsia="Times New Roman" w:hAnsi="Times New Roman"/>
          <w:i w:val="0"/>
        </w:rPr>
        <w:t>doi</w:t>
      </w:r>
      <w:r w:rsidR="005D5FEA" w:rsidRPr="00333322">
        <w:rPr>
          <w:rStyle w:val="st"/>
          <w:rFonts w:ascii="Times New Roman" w:eastAsia="Times New Roman" w:hAnsi="Times New Roman"/>
        </w:rPr>
        <w:t>:10.1029/</w:t>
      </w:r>
      <w:r w:rsidR="005D5FEA" w:rsidRPr="00333322">
        <w:rPr>
          <w:rStyle w:val="Emphasis"/>
          <w:rFonts w:ascii="Times New Roman" w:eastAsia="Times New Roman" w:hAnsi="Times New Roman"/>
          <w:i w:val="0"/>
        </w:rPr>
        <w:t>2011JC007255.</w:t>
      </w:r>
    </w:p>
    <w:p w14:paraId="50CB31EC" w14:textId="541EB980" w:rsidR="007C0210" w:rsidRPr="007C0210" w:rsidRDefault="007C0210" w:rsidP="007C0210">
      <w:pPr>
        <w:pStyle w:val="EndNoteBibliography"/>
        <w:ind w:left="709" w:hanging="709"/>
        <w:rPr>
          <w:rFonts w:ascii="Times New Roman" w:hAnsi="Times New Roman"/>
          <w:noProof/>
        </w:rPr>
      </w:pPr>
      <w:r w:rsidRPr="007C0210">
        <w:rPr>
          <w:rFonts w:ascii="Times New Roman" w:hAnsi="Times New Roman"/>
          <w:noProof/>
        </w:rPr>
        <w:t xml:space="preserve">Curry W.B. and Oppo D.W., 2005, </w:t>
      </w:r>
      <w:r w:rsidRPr="007C0210">
        <w:rPr>
          <w:rFonts w:ascii="Times New Roman" w:eastAsiaTheme="minorEastAsia" w:hAnsi="Times New Roman"/>
          <w:color w:val="262626"/>
          <w:lang w:eastAsia="ja-JP"/>
        </w:rPr>
        <w:t>Glacial water mass geometry and the distribution of δ</w:t>
      </w:r>
      <w:r w:rsidRPr="007C0210">
        <w:rPr>
          <w:rFonts w:ascii="Times New Roman" w:eastAsiaTheme="minorEastAsia" w:hAnsi="Times New Roman"/>
          <w:color w:val="262626"/>
          <w:vertAlign w:val="superscript"/>
          <w:lang w:eastAsia="ja-JP"/>
        </w:rPr>
        <w:t>13</w:t>
      </w:r>
      <w:r w:rsidRPr="007C0210">
        <w:rPr>
          <w:rFonts w:ascii="Times New Roman" w:eastAsiaTheme="minorEastAsia" w:hAnsi="Times New Roman"/>
          <w:color w:val="262626"/>
          <w:lang w:eastAsia="ja-JP"/>
        </w:rPr>
        <w:t>C of ΣCO</w:t>
      </w:r>
      <w:r w:rsidRPr="007C0210">
        <w:rPr>
          <w:rFonts w:ascii="Times New Roman" w:eastAsiaTheme="minorEastAsia" w:hAnsi="Times New Roman"/>
          <w:color w:val="262626"/>
          <w:vertAlign w:val="subscript"/>
          <w:lang w:eastAsia="ja-JP"/>
        </w:rPr>
        <w:t>2</w:t>
      </w:r>
      <w:r w:rsidRPr="007C0210">
        <w:rPr>
          <w:rFonts w:ascii="Times New Roman" w:eastAsiaTheme="minorEastAsia" w:hAnsi="Times New Roman"/>
          <w:color w:val="262626"/>
          <w:lang w:eastAsia="ja-JP"/>
        </w:rPr>
        <w:t xml:space="preserve"> in the Western Atlantic Ocean. Paleoceanography, </w:t>
      </w:r>
      <w:r w:rsidRPr="00A57863">
        <w:rPr>
          <w:rFonts w:ascii="Times New Roman" w:eastAsiaTheme="minorEastAsia" w:hAnsi="Times New Roman"/>
          <w:color w:val="262626"/>
          <w:lang w:eastAsia="ja-JP"/>
        </w:rPr>
        <w:t>v.</w:t>
      </w:r>
      <w:r w:rsidRPr="007C0210">
        <w:rPr>
          <w:rFonts w:ascii="Times New Roman" w:eastAsiaTheme="minorEastAsia" w:hAnsi="Times New Roman"/>
          <w:bCs/>
          <w:color w:val="262626"/>
          <w:lang w:eastAsia="ja-JP"/>
        </w:rPr>
        <w:t>20</w:t>
      </w:r>
      <w:r w:rsidRPr="007C0210">
        <w:rPr>
          <w:rFonts w:ascii="Times New Roman" w:eastAsiaTheme="minorEastAsia" w:hAnsi="Times New Roman"/>
          <w:color w:val="262626"/>
          <w:lang w:eastAsia="ja-JP"/>
        </w:rPr>
        <w:t>, doi:10.1029/2004PA001021</w:t>
      </w:r>
    </w:p>
    <w:p w14:paraId="76E39ECB" w14:textId="265DCDE6" w:rsidR="00747895" w:rsidRPr="00333322" w:rsidRDefault="00747895" w:rsidP="007C0210">
      <w:pPr>
        <w:pStyle w:val="EndNoteBibliography"/>
        <w:ind w:left="709" w:hanging="709"/>
        <w:rPr>
          <w:rFonts w:ascii="Times New Roman" w:hAnsi="Times New Roman"/>
          <w:noProof/>
        </w:rPr>
      </w:pPr>
      <w:r w:rsidRPr="00333322">
        <w:rPr>
          <w:rFonts w:ascii="Times New Roman" w:hAnsi="Times New Roman"/>
          <w:noProof/>
        </w:rPr>
        <w:t>Delan</w:t>
      </w:r>
      <w:r w:rsidR="006077CD">
        <w:rPr>
          <w:rFonts w:ascii="Times New Roman" w:hAnsi="Times New Roman"/>
          <w:noProof/>
        </w:rPr>
        <w:t>e</w:t>
      </w:r>
      <w:r w:rsidRPr="00333322">
        <w:rPr>
          <w:rFonts w:ascii="Times New Roman" w:hAnsi="Times New Roman"/>
          <w:noProof/>
        </w:rPr>
        <w:t>y, M. L., Be, A. W. H., and Boyle, E. A., 1985, Li, Sr, Mg and Na in foraminiferal calcite shells from laboratory culture, sediment traps and sediment cores: Geochimica Et Cosmochimica Acta, v. 49, no. 6, p. 1327-1341.</w:t>
      </w:r>
    </w:p>
    <w:p w14:paraId="154FC07E" w14:textId="7777777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rPr>
        <w:t>Deyhle, A., and Kopf, A., 2004, Possible influence of clay contamination on B isotope geochemistry</w:t>
      </w:r>
      <w:r w:rsidRPr="00333322">
        <w:rPr>
          <w:rFonts w:ascii="Times New Roman" w:hAnsi="Times New Roman"/>
          <w:noProof/>
        </w:rPr>
        <w:t xml:space="preserve"> of carbonaceous samples: Applied Geochemistry, v. 19, no. 5, p. 737-745.</w:t>
      </w:r>
    </w:p>
    <w:p w14:paraId="40FFC366" w14:textId="0E1469F8" w:rsidR="00333322" w:rsidRPr="00333322" w:rsidRDefault="00333322" w:rsidP="00333322">
      <w:pPr>
        <w:spacing w:after="0" w:line="240" w:lineRule="auto"/>
        <w:ind w:left="720" w:hanging="720"/>
        <w:rPr>
          <w:rFonts w:ascii="Times New Roman" w:hAnsi="Times New Roman"/>
        </w:rPr>
      </w:pPr>
      <w:r w:rsidRPr="00333322">
        <w:rPr>
          <w:rFonts w:ascii="Times New Roman" w:hAnsi="Times New Roman"/>
        </w:rPr>
        <w:t>Edwards, N. R. and Marsh, R., 2005, Uncertainties due to transport- parameter sensitivity in an efficient 3-D ocean-climate model: Clim. Dynam., 24, 415–433, doi:10.1007/s00382-004-0508-8.</w:t>
      </w:r>
    </w:p>
    <w:p w14:paraId="2F98673C" w14:textId="7777777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Elderfield, H., Yu, J., Anand, P., Kiefer, T., and Nyland, B., 2006, Calibrations for benthic foraminiferal Mg/Ca paleothermometry and the carbonate ion hypothesis: Earth and Planetary Science Letters, v. 250, no. 3-4, p. 633-649.</w:t>
      </w:r>
    </w:p>
    <w:p w14:paraId="04BD2AE3" w14:textId="668BCD00"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Evans, D., and Muller, W., 2012, Deep time foraminifera Mg/Ca paleothermometry: Nonlinear correction for secular change in seawater Mg/Ca: Paleoceanography, v. 27</w:t>
      </w:r>
      <w:r w:rsidR="005D5FEA" w:rsidRPr="00333322">
        <w:rPr>
          <w:rFonts w:ascii="Times New Roman" w:hAnsi="Times New Roman"/>
          <w:noProof/>
        </w:rPr>
        <w:t xml:space="preserve">, </w:t>
      </w:r>
      <w:r w:rsidR="005D5FEA" w:rsidRPr="00333322">
        <w:rPr>
          <w:rStyle w:val="article-headermeta-info-label"/>
          <w:rFonts w:ascii="Times New Roman" w:eastAsia="Times New Roman" w:hAnsi="Times New Roman"/>
        </w:rPr>
        <w:t xml:space="preserve">DOI: </w:t>
      </w:r>
      <w:r w:rsidR="005D5FEA" w:rsidRPr="00333322">
        <w:rPr>
          <w:rStyle w:val="article-headermeta-info-data"/>
          <w:rFonts w:ascii="Times New Roman" w:eastAsia="Times New Roman" w:hAnsi="Times New Roman"/>
        </w:rPr>
        <w:t>10.1029/2012PA002315</w:t>
      </w:r>
      <w:r w:rsidRPr="00333322">
        <w:rPr>
          <w:rFonts w:ascii="Times New Roman" w:hAnsi="Times New Roman"/>
          <w:noProof/>
        </w:rPr>
        <w:t>.</w:t>
      </w:r>
    </w:p>
    <w:p w14:paraId="682301E1" w14:textId="77777777" w:rsidR="00747895" w:rsidRPr="00333322" w:rsidRDefault="00747895" w:rsidP="0060107E">
      <w:pPr>
        <w:pStyle w:val="EndNoteBibliography"/>
        <w:ind w:left="567" w:hanging="567"/>
      </w:pPr>
      <w:r w:rsidRPr="00333322">
        <w:t>Fantle, M.S., Tipper, E.T, 2014, Calcium isotopes in the global biogeochemical Ca cycle: Implications for development of a Ca isotope proxy, Earth-Science Reviews, v. 129, p. 148-177.</w:t>
      </w:r>
    </w:p>
    <w:p w14:paraId="220C1684" w14:textId="6C23D9FB"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 xml:space="preserve">Foster, G., </w:t>
      </w:r>
      <w:r w:rsidR="00993673" w:rsidRPr="00333322">
        <w:rPr>
          <w:rStyle w:val="st"/>
          <w:rFonts w:ascii="Times New Roman" w:hAnsi="Times New Roman"/>
        </w:rPr>
        <w:t>Hönisch</w:t>
      </w:r>
      <w:r w:rsidRPr="00333322">
        <w:rPr>
          <w:rFonts w:ascii="Times New Roman" w:hAnsi="Times New Roman"/>
          <w:noProof/>
        </w:rPr>
        <w:t>, B., Paris, G., Dwyer, G., Rae, J., Elliott, T., Gaillardet, J., Hemming, N., Louvat, P., and Vengosh, A., 2013, Interlaboratory comparison of boron isotope analyses of boric acid, seawater and marine CaCO</w:t>
      </w:r>
      <w:r w:rsidRPr="00333322">
        <w:rPr>
          <w:rFonts w:ascii="Times New Roman" w:hAnsi="Times New Roman"/>
          <w:noProof/>
          <w:vertAlign w:val="subscript"/>
        </w:rPr>
        <w:t>3</w:t>
      </w:r>
      <w:r w:rsidRPr="00333322">
        <w:rPr>
          <w:rFonts w:ascii="Times New Roman" w:hAnsi="Times New Roman"/>
          <w:noProof/>
        </w:rPr>
        <w:t xml:space="preserve"> by MC-ICPMS and NTIMS: Chemical Geology, v. 358, p. 1-14.</w:t>
      </w:r>
    </w:p>
    <w:p w14:paraId="44C89082" w14:textId="5C023330"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Foster, G., Lear, C. H., and Rae, J.</w:t>
      </w:r>
      <w:r w:rsidR="00D346DD" w:rsidRPr="00333322">
        <w:rPr>
          <w:rFonts w:ascii="Times New Roman" w:hAnsi="Times New Roman"/>
          <w:noProof/>
        </w:rPr>
        <w:t>W.B.</w:t>
      </w:r>
      <w:r w:rsidRPr="00333322">
        <w:rPr>
          <w:rFonts w:ascii="Times New Roman" w:hAnsi="Times New Roman"/>
          <w:noProof/>
        </w:rPr>
        <w:t xml:space="preserve">, 2012, The evolution of </w:t>
      </w:r>
      <w:r w:rsidRPr="00333322">
        <w:rPr>
          <w:rFonts w:ascii="Times New Roman" w:hAnsi="Times New Roman"/>
          <w:i/>
          <w:noProof/>
        </w:rPr>
        <w:t>p</w:t>
      </w:r>
      <w:r w:rsidRPr="00333322">
        <w:rPr>
          <w:rFonts w:ascii="Times New Roman" w:hAnsi="Times New Roman"/>
          <w:noProof/>
        </w:rPr>
        <w:t>CO</w:t>
      </w:r>
      <w:r w:rsidRPr="00333322">
        <w:rPr>
          <w:rFonts w:ascii="Times New Roman" w:hAnsi="Times New Roman"/>
          <w:noProof/>
          <w:vertAlign w:val="subscript"/>
        </w:rPr>
        <w:t>2</w:t>
      </w:r>
      <w:r w:rsidRPr="00333322">
        <w:rPr>
          <w:rFonts w:ascii="Times New Roman" w:hAnsi="Times New Roman"/>
          <w:noProof/>
        </w:rPr>
        <w:t>, ice volume and climate during the middle Miocene: Earth and Planetary Science Letters, v. 341-344, p. 243-254.</w:t>
      </w:r>
    </w:p>
    <w:p w14:paraId="5D5C9ACD" w14:textId="04EB6B1E"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 xml:space="preserve">Foster, G. L., 2008, Seawater pH, </w:t>
      </w:r>
      <w:r w:rsidR="005D5FEA" w:rsidRPr="00333322">
        <w:rPr>
          <w:rFonts w:ascii="Times New Roman" w:hAnsi="Times New Roman"/>
          <w:i/>
          <w:noProof/>
        </w:rPr>
        <w:t>p</w:t>
      </w:r>
      <w:r w:rsidRPr="00333322">
        <w:rPr>
          <w:rFonts w:ascii="Times New Roman" w:hAnsi="Times New Roman"/>
          <w:noProof/>
        </w:rPr>
        <w:t>CO</w:t>
      </w:r>
      <w:r w:rsidRPr="00333322">
        <w:rPr>
          <w:rFonts w:ascii="Times New Roman" w:hAnsi="Times New Roman"/>
          <w:noProof/>
          <w:vertAlign w:val="subscript"/>
        </w:rPr>
        <w:t xml:space="preserve">2 </w:t>
      </w:r>
      <w:r w:rsidRPr="00333322">
        <w:rPr>
          <w:rFonts w:ascii="Times New Roman" w:hAnsi="Times New Roman"/>
          <w:noProof/>
        </w:rPr>
        <w:t>and [CO</w:t>
      </w:r>
      <w:r w:rsidRPr="00333322">
        <w:rPr>
          <w:rFonts w:ascii="Times New Roman" w:hAnsi="Times New Roman"/>
          <w:noProof/>
          <w:vertAlign w:val="subscript"/>
        </w:rPr>
        <w:t>3</w:t>
      </w:r>
      <w:r w:rsidRPr="00333322">
        <w:rPr>
          <w:rFonts w:ascii="Times New Roman" w:hAnsi="Times New Roman"/>
          <w:noProof/>
          <w:vertAlign w:val="superscript"/>
        </w:rPr>
        <w:t>2-</w:t>
      </w:r>
      <w:r w:rsidRPr="00333322">
        <w:rPr>
          <w:rFonts w:ascii="Times New Roman" w:hAnsi="Times New Roman"/>
          <w:noProof/>
        </w:rPr>
        <w:t>] variations in the Caribbean Sea over the last 130 kyr: A boron isotope and B/Ca study of planktic forminifera: Earth and Planetary Science Letters, v. 271, no. 1-4, p. 254-266.</w:t>
      </w:r>
    </w:p>
    <w:p w14:paraId="44AB8091" w14:textId="03302B40"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 xml:space="preserve">Foster, G. L., Pogge von Strandmann, P. A. E., and Rae, J. W. B., 2010, Boron and magnesium isotopic composition of seawater: Geochemistry Geophysics Geosystems, v. 11, </w:t>
      </w:r>
      <w:r w:rsidR="005D5FEA" w:rsidRPr="00333322">
        <w:rPr>
          <w:rStyle w:val="article-headermeta-info-label"/>
          <w:rFonts w:ascii="Times New Roman" w:eastAsia="Times New Roman" w:hAnsi="Times New Roman"/>
        </w:rPr>
        <w:t xml:space="preserve">DOI: </w:t>
      </w:r>
      <w:r w:rsidR="005D5FEA" w:rsidRPr="00333322">
        <w:rPr>
          <w:rStyle w:val="article-headermeta-info-data"/>
          <w:rFonts w:ascii="Times New Roman" w:eastAsia="Times New Roman" w:hAnsi="Times New Roman"/>
        </w:rPr>
        <w:t>10.1029/2010GC003201.</w:t>
      </w:r>
    </w:p>
    <w:p w14:paraId="6E48B34E" w14:textId="77777777" w:rsidR="008340BB" w:rsidRPr="00333322" w:rsidRDefault="00D346DD" w:rsidP="00D346DD">
      <w:pPr>
        <w:spacing w:after="0" w:line="240" w:lineRule="auto"/>
        <w:ind w:left="709" w:hanging="709"/>
        <w:rPr>
          <w:rFonts w:ascii="Times New Roman" w:hAnsi="Times New Roman"/>
        </w:rPr>
      </w:pPr>
      <w:r w:rsidRPr="00333322">
        <w:rPr>
          <w:rFonts w:ascii="Times New Roman" w:hAnsi="Times New Roman"/>
        </w:rPr>
        <w:t>Froelich, F., and Misra, S., 2014. Was the late Paleocene-early Eocene hot because Earth was flat? An ocean lithium isotope view of mountain building, continental weathering, carbon dioxide, and Earth’s Cenozoic climate: Oceanography, v. 27, no.1, p. 36–49.</w:t>
      </w:r>
    </w:p>
    <w:p w14:paraId="43160732" w14:textId="77777777" w:rsidR="00512CC1" w:rsidRPr="00333322" w:rsidRDefault="00512CC1" w:rsidP="00631B5A">
      <w:pPr>
        <w:pStyle w:val="EndNoteBibliography"/>
        <w:ind w:left="709" w:hanging="567"/>
      </w:pPr>
      <w:r w:rsidRPr="00333322">
        <w:rPr>
          <w:noProof/>
        </w:rPr>
        <w:t xml:space="preserve">Galbraith, E.D., Kwon, E.Y., Bianchi, D., Hain, M.P., Sarmiento, J.L., 2015, </w:t>
      </w:r>
      <w:r w:rsidRPr="00333322">
        <w:t xml:space="preserve">The impact of atmospheric </w:t>
      </w:r>
      <w:r w:rsidRPr="00333322">
        <w:rPr>
          <w:rStyle w:val="Emphasis"/>
          <w:rFonts w:ascii="Times New Roman" w:hAnsi="Times New Roman"/>
        </w:rPr>
        <w:t>p</w:t>
      </w:r>
      <w:r w:rsidRPr="00333322">
        <w:t>CO</w:t>
      </w:r>
      <w:r w:rsidRPr="00333322">
        <w:rPr>
          <w:vertAlign w:val="subscript"/>
        </w:rPr>
        <w:t>2</w:t>
      </w:r>
      <w:r w:rsidRPr="00333322">
        <w:t xml:space="preserve"> on carbon isotope ratios of the atmosphere and ocean: Global Biogeochemical Cycles, 9, 307–324, doi:10.1002/2014GB004929</w:t>
      </w:r>
    </w:p>
    <w:p w14:paraId="11D9F09E" w14:textId="4FED3458" w:rsidR="00D346DD" w:rsidRDefault="008340BB" w:rsidP="008340BB">
      <w:pPr>
        <w:spacing w:after="0" w:line="240" w:lineRule="auto"/>
        <w:ind w:left="709" w:hanging="709"/>
        <w:rPr>
          <w:rFonts w:ascii="Times New Roman" w:hAnsi="Times New Roman"/>
          <w:lang w:val="en-US"/>
        </w:rPr>
      </w:pPr>
      <w:r w:rsidRPr="00333322">
        <w:rPr>
          <w:rFonts w:ascii="Times New Roman" w:hAnsi="Times New Roman"/>
          <w:lang w:val="en-US"/>
        </w:rPr>
        <w:t>Goo</w:t>
      </w:r>
      <w:r w:rsidR="00631B5A">
        <w:rPr>
          <w:rFonts w:ascii="Times New Roman" w:hAnsi="Times New Roman"/>
          <w:lang w:val="en-US"/>
        </w:rPr>
        <w:t>dwin, P., and J. M. Lauderdale 2013</w:t>
      </w:r>
      <w:r w:rsidRPr="00333322">
        <w:rPr>
          <w:rFonts w:ascii="Times New Roman" w:hAnsi="Times New Roman"/>
          <w:lang w:val="en-US"/>
        </w:rPr>
        <w:t xml:space="preserve">, Carbonate ion concentrations, ocean carbon storage, and atmospheric </w:t>
      </w:r>
      <w:r w:rsidR="00641E9A">
        <w:rPr>
          <w:rFonts w:ascii="Times New Roman" w:hAnsi="Times New Roman"/>
          <w:lang w:val="en-US"/>
        </w:rPr>
        <w:t>CO</w:t>
      </w:r>
      <w:r w:rsidR="00641E9A">
        <w:rPr>
          <w:rFonts w:ascii="Times New Roman" w:hAnsi="Times New Roman"/>
          <w:vertAlign w:val="subscript"/>
          <w:lang w:val="en-US"/>
        </w:rPr>
        <w:t>2</w:t>
      </w:r>
      <w:r w:rsidR="00641E9A">
        <w:rPr>
          <w:rFonts w:ascii="Times New Roman" w:hAnsi="Times New Roman"/>
          <w:lang w:val="en-US"/>
        </w:rPr>
        <w:t>:</w:t>
      </w:r>
      <w:r w:rsidRPr="00333322">
        <w:rPr>
          <w:rFonts w:ascii="Times New Roman" w:hAnsi="Times New Roman"/>
          <w:lang w:val="en-US"/>
        </w:rPr>
        <w:t xml:space="preserve"> Global Biogeochem. Cycles, 27, doi:10.1002/gbc.20078.</w:t>
      </w:r>
    </w:p>
    <w:p w14:paraId="21BA41CD" w14:textId="45D45991" w:rsidR="00631B5A" w:rsidRPr="00631B5A" w:rsidRDefault="00631B5A" w:rsidP="00631B5A">
      <w:pPr>
        <w:pStyle w:val="EndNoteBibliography"/>
        <w:ind w:left="709" w:hanging="709"/>
      </w:pPr>
      <w:r w:rsidRPr="00631B5A">
        <w:t>Gradstein F.M., Ogg J.G., Schmitz M., Ogg G., 2012, The Geologic Time Scale 2012: Boston, Elsevier, 1144 p., doi:10.1016/B978-0-444-59425-9.00004-4.</w:t>
      </w:r>
    </w:p>
    <w:p w14:paraId="1F1DD128" w14:textId="6472B167" w:rsidR="00747895" w:rsidRPr="00333322" w:rsidRDefault="00747895" w:rsidP="00D346DD">
      <w:pPr>
        <w:pStyle w:val="EndNoteBibliography"/>
        <w:ind w:left="720" w:hanging="720"/>
        <w:rPr>
          <w:rFonts w:ascii="Times New Roman" w:hAnsi="Times New Roman"/>
          <w:noProof/>
        </w:rPr>
      </w:pPr>
      <w:r w:rsidRPr="00333322">
        <w:rPr>
          <w:rFonts w:ascii="Times New Roman" w:hAnsi="Times New Roman"/>
          <w:noProof/>
        </w:rPr>
        <w:t>Greenop, R., Foster, G. L., Wilson, P. A., and Lear, C. H., 2014, Middle Miocene climate instability associated with high-amplitude CO</w:t>
      </w:r>
      <w:r w:rsidRPr="00333322">
        <w:rPr>
          <w:rFonts w:ascii="Times New Roman" w:hAnsi="Times New Roman"/>
          <w:noProof/>
          <w:vertAlign w:val="subscript"/>
        </w:rPr>
        <w:t>2</w:t>
      </w:r>
      <w:r w:rsidRPr="00333322">
        <w:rPr>
          <w:rFonts w:ascii="Times New Roman" w:hAnsi="Times New Roman"/>
          <w:noProof/>
        </w:rPr>
        <w:t xml:space="preserve"> variability: Paleoceanography, v. 29, no. 9, </w:t>
      </w:r>
      <w:r w:rsidR="005D5FEA" w:rsidRPr="00333322">
        <w:rPr>
          <w:rFonts w:ascii="Times New Roman" w:hAnsi="Times New Roman"/>
          <w:noProof/>
        </w:rPr>
        <w:t>DOI:</w:t>
      </w:r>
      <w:r w:rsidRPr="00333322">
        <w:rPr>
          <w:rFonts w:ascii="Times New Roman" w:hAnsi="Times New Roman"/>
          <w:noProof/>
        </w:rPr>
        <w:t xml:space="preserve"> 2014PA002653.</w:t>
      </w:r>
    </w:p>
    <w:p w14:paraId="55EDA707" w14:textId="77777777" w:rsidR="00747895" w:rsidRPr="00333322" w:rsidRDefault="00747895" w:rsidP="00D346DD">
      <w:pPr>
        <w:pStyle w:val="EndNoteBibliography"/>
        <w:ind w:left="720" w:hanging="720"/>
        <w:rPr>
          <w:rFonts w:ascii="Times New Roman" w:hAnsi="Times New Roman"/>
          <w:noProof/>
        </w:rPr>
      </w:pPr>
      <w:r w:rsidRPr="00333322">
        <w:rPr>
          <w:rFonts w:ascii="Times New Roman" w:hAnsi="Times New Roman"/>
          <w:noProof/>
        </w:rPr>
        <w:t>Griffith, E., Paytan, A., Caldeira, K., Bullen, T., and Thomas, E., 2008, A Dynamic Marine Calcium Cycle During the Past 28 Million Years: Science, v. 322, no. 5908, p. 1671-1674.</w:t>
      </w:r>
    </w:p>
    <w:p w14:paraId="192D8A91" w14:textId="44C79AF1" w:rsidR="00747895" w:rsidRPr="00333322" w:rsidRDefault="00747895" w:rsidP="0060107E">
      <w:pPr>
        <w:pStyle w:val="EndNoteBibliography"/>
        <w:ind w:left="709" w:hanging="709"/>
        <w:rPr>
          <w:noProof/>
        </w:rPr>
      </w:pPr>
      <w:r w:rsidRPr="00333322">
        <w:rPr>
          <w:noProof/>
        </w:rPr>
        <w:t>Hain, M.</w:t>
      </w:r>
      <w:r w:rsidR="00993673" w:rsidRPr="00333322">
        <w:rPr>
          <w:noProof/>
        </w:rPr>
        <w:t>P.</w:t>
      </w:r>
      <w:r w:rsidRPr="00333322">
        <w:rPr>
          <w:noProof/>
        </w:rPr>
        <w:t>, Sigman, D.</w:t>
      </w:r>
      <w:r w:rsidR="00993673" w:rsidRPr="00333322">
        <w:rPr>
          <w:noProof/>
        </w:rPr>
        <w:t>M.</w:t>
      </w:r>
      <w:r w:rsidRPr="00333322">
        <w:rPr>
          <w:noProof/>
        </w:rPr>
        <w:t>, and Haug, G.</w:t>
      </w:r>
      <w:r w:rsidR="00993673" w:rsidRPr="00333322">
        <w:rPr>
          <w:noProof/>
        </w:rPr>
        <w:t>H.</w:t>
      </w:r>
      <w:r w:rsidRPr="00333322">
        <w:rPr>
          <w:noProof/>
        </w:rPr>
        <w:t>, 2010, Carbon dioxide effects of Antarctic stratification, North Atlantic Intermediate Water formation, and subantarctic nutrient drawdown during the last ice age: Diagnosis and synthesis in a geochemical box model: Global Biogeochem</w:t>
      </w:r>
      <w:r w:rsidR="00CE0FD9" w:rsidRPr="00333322">
        <w:rPr>
          <w:noProof/>
        </w:rPr>
        <w:t>.</w:t>
      </w:r>
      <w:r w:rsidRPr="00333322">
        <w:rPr>
          <w:noProof/>
        </w:rPr>
        <w:t xml:space="preserve"> Cycles, v. 24</w:t>
      </w:r>
      <w:r w:rsidR="005D5FEA" w:rsidRPr="00333322">
        <w:rPr>
          <w:noProof/>
        </w:rPr>
        <w:t xml:space="preserve">, </w:t>
      </w:r>
      <w:r w:rsidR="005D5FEA" w:rsidRPr="00333322">
        <w:t>doi:10.1029/2010GB003790</w:t>
      </w:r>
      <w:r w:rsidRPr="00333322">
        <w:rPr>
          <w:noProof/>
        </w:rPr>
        <w:t>.</w:t>
      </w:r>
    </w:p>
    <w:p w14:paraId="597B1680" w14:textId="77777777" w:rsidR="00CF04FC" w:rsidRPr="00333322" w:rsidRDefault="00CF04FC" w:rsidP="0060107E">
      <w:pPr>
        <w:pStyle w:val="EndNoteBibliography"/>
        <w:ind w:left="709" w:hanging="709"/>
        <w:rPr>
          <w:noProof/>
        </w:rPr>
      </w:pPr>
      <w:r w:rsidRPr="00333322">
        <w:rPr>
          <w:noProof/>
        </w:rPr>
        <w:t>Hain, M.P, Sigman, D.M., and Haug, G.H., 2014a, The Biological Pump in the Past, Treatise on Geochemistry 2</w:t>
      </w:r>
      <w:r w:rsidRPr="00333322">
        <w:rPr>
          <w:noProof/>
          <w:vertAlign w:val="superscript"/>
        </w:rPr>
        <w:t>nd</w:t>
      </w:r>
      <w:r w:rsidRPr="00333322">
        <w:rPr>
          <w:noProof/>
        </w:rPr>
        <w:t xml:space="preserve"> ed., vol. 8, chapter 18, 485-517, doi:10.1016/B978-0-08-095975-7.00618-5</w:t>
      </w:r>
    </w:p>
    <w:p w14:paraId="5DCB6F52" w14:textId="4F640141" w:rsidR="00993673" w:rsidRPr="00333322" w:rsidRDefault="00993673" w:rsidP="00993673">
      <w:pPr>
        <w:spacing w:after="0" w:line="240" w:lineRule="auto"/>
        <w:ind w:left="709" w:hanging="709"/>
        <w:rPr>
          <w:rFonts w:ascii="Times New Roman" w:hAnsi="Times New Roman"/>
        </w:rPr>
      </w:pPr>
      <w:r w:rsidRPr="00333322">
        <w:rPr>
          <w:rFonts w:ascii="Times New Roman" w:hAnsi="Times New Roman"/>
          <w:noProof/>
        </w:rPr>
        <w:t>Hain, M.P, Sigman, D.M., and Haug, G.H., 2014</w:t>
      </w:r>
      <w:r w:rsidR="00CF04FC" w:rsidRPr="00333322">
        <w:rPr>
          <w:rFonts w:ascii="Times New Roman" w:hAnsi="Times New Roman"/>
          <w:noProof/>
        </w:rPr>
        <w:t>b</w:t>
      </w:r>
      <w:r w:rsidRPr="00333322">
        <w:rPr>
          <w:rFonts w:ascii="Times New Roman" w:hAnsi="Times New Roman"/>
          <w:noProof/>
        </w:rPr>
        <w:t>, Distinct roles of the Southern Ocean and North Atlantic in the deglacial atmospheric radiocarbon decline</w:t>
      </w:r>
      <w:r w:rsidR="00641E9A">
        <w:rPr>
          <w:rFonts w:ascii="Times New Roman" w:hAnsi="Times New Roman"/>
          <w:noProof/>
        </w:rPr>
        <w:t>:</w:t>
      </w:r>
      <w:r w:rsidRPr="00333322">
        <w:rPr>
          <w:rFonts w:ascii="Times New Roman" w:hAnsi="Times New Roman"/>
          <w:noProof/>
        </w:rPr>
        <w:t xml:space="preserve">  Earth and Planetary Science Letters, v.394, p.198-208, doi: 10.1016/j.epsl.2014.03.020</w:t>
      </w:r>
    </w:p>
    <w:p w14:paraId="4215580A" w14:textId="3B0FD01B" w:rsidR="007957C0" w:rsidRPr="00333322" w:rsidRDefault="007957C0" w:rsidP="00631B5A">
      <w:pPr>
        <w:pStyle w:val="EndNoteBibliography"/>
        <w:ind w:left="709" w:hanging="709"/>
      </w:pPr>
      <w:r w:rsidRPr="00333322">
        <w:rPr>
          <w:noProof/>
        </w:rPr>
        <w:t xml:space="preserve">Hain, M.P, Sigman, D.M., Higgins, J.A., and Haug, G.H., 2015, </w:t>
      </w:r>
      <w:r w:rsidRPr="00333322">
        <w:t xml:space="preserve">The effects of secular calcium and magnesium concentration changes on the thermodynamics of seawater acid/base chemistry: Implications for Eocene and Cretaceous ocean carbon chemistry and buffering: Global Biogeochem. Cycles, </w:t>
      </w:r>
      <w:r w:rsidR="0065356E">
        <w:t xml:space="preserve">v. </w:t>
      </w:r>
      <w:r w:rsidRPr="00333322">
        <w:t>29, doi:10.1002/2014GB004986.</w:t>
      </w:r>
    </w:p>
    <w:p w14:paraId="03299A0C" w14:textId="7777777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Hasiuk, F., and Lohmann, K., 2010, Application of calcite Mg partitioning functions to the reconstruction of paleocean Mg/Ca: Geochimica Et Cosmochimica Acta, v. 74, no. 23, p. 6751-6763.</w:t>
      </w:r>
    </w:p>
    <w:p w14:paraId="6E0768C4" w14:textId="7777777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Hathorne, E. C., and James, R. H., 2006, Temporal record of lithium in seawater: A tracer for silicate weathering?: Earth and Planetary Science Letters, v. 246, no. 3–4, p. 393-406.</w:t>
      </w:r>
    </w:p>
    <w:p w14:paraId="2D4B2011" w14:textId="7777777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Haug, G. H., and Tiedemann, R., 1998, Effect of the formation of the Isthmus of Panama on Atlantic Ocean thermohaline circulation: Nature, v. 393, no. 6686, p. 673-676.</w:t>
      </w:r>
    </w:p>
    <w:p w14:paraId="3034C1BC" w14:textId="498C1460" w:rsidR="006A4705" w:rsidRPr="00333322" w:rsidRDefault="006A4705" w:rsidP="00613A08">
      <w:pPr>
        <w:spacing w:after="0" w:line="240" w:lineRule="auto"/>
        <w:ind w:left="709" w:hanging="709"/>
        <w:rPr>
          <w:rFonts w:ascii="Times New Roman" w:hAnsi="Times New Roman"/>
        </w:rPr>
      </w:pPr>
      <w:r w:rsidRPr="00333322">
        <w:rPr>
          <w:rFonts w:ascii="Times New Roman" w:hAnsi="Times New Roman"/>
        </w:rPr>
        <w:t xml:space="preserve">Hemleben Ch, Spindler M, Breitinger, Ott R., 1987, Morphological and physiological responses of </w:t>
      </w:r>
      <w:r w:rsidRPr="00333322">
        <w:rPr>
          <w:rFonts w:ascii="Times New Roman" w:hAnsi="Times New Roman"/>
          <w:i/>
        </w:rPr>
        <w:t>Globigerinoides sacculifer</w:t>
      </w:r>
      <w:r w:rsidRPr="00333322">
        <w:rPr>
          <w:rFonts w:ascii="Times New Roman" w:hAnsi="Times New Roman"/>
        </w:rPr>
        <w:t xml:space="preserve"> (Brady) under varying laboratory conditions:</w:t>
      </w:r>
      <w:r w:rsidR="00613A08" w:rsidRPr="00333322">
        <w:rPr>
          <w:rFonts w:ascii="Times New Roman" w:hAnsi="Times New Roman"/>
        </w:rPr>
        <w:t xml:space="preserve"> Marine Micropaleontology,</w:t>
      </w:r>
      <w:r w:rsidRPr="00333322">
        <w:rPr>
          <w:rFonts w:ascii="Times New Roman" w:hAnsi="Times New Roman"/>
        </w:rPr>
        <w:t xml:space="preserve"> </w:t>
      </w:r>
      <w:r w:rsidR="00613A08" w:rsidRPr="00333322">
        <w:rPr>
          <w:rFonts w:ascii="Times New Roman" w:hAnsi="Times New Roman"/>
        </w:rPr>
        <w:t>v.12,</w:t>
      </w:r>
      <w:r w:rsidRPr="00333322">
        <w:rPr>
          <w:rFonts w:ascii="Times New Roman" w:hAnsi="Times New Roman"/>
        </w:rPr>
        <w:t xml:space="preserve"> </w:t>
      </w:r>
      <w:r w:rsidR="00613A08" w:rsidRPr="00333322">
        <w:rPr>
          <w:rFonts w:ascii="Times New Roman" w:hAnsi="Times New Roman"/>
        </w:rPr>
        <w:t xml:space="preserve">p. </w:t>
      </w:r>
      <w:r w:rsidRPr="00333322">
        <w:rPr>
          <w:rFonts w:ascii="Times New Roman" w:hAnsi="Times New Roman"/>
        </w:rPr>
        <w:t>305</w:t>
      </w:r>
      <w:r w:rsidR="00613A08" w:rsidRPr="00333322">
        <w:rPr>
          <w:rFonts w:ascii="Times New Roman" w:hAnsi="Times New Roman"/>
        </w:rPr>
        <w:t>-</w:t>
      </w:r>
      <w:r w:rsidRPr="00333322">
        <w:rPr>
          <w:rFonts w:ascii="Times New Roman" w:hAnsi="Times New Roman"/>
        </w:rPr>
        <w:t>324.</w:t>
      </w:r>
    </w:p>
    <w:p w14:paraId="3619F622" w14:textId="7777777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Hemming, N. G., and Hanson, G. N., 1992, Boron isotopic composition and concentration in modern marine carbonates: Geochimica et Cosmochimica Acta, v. 56, no. 1, p. 537-543.</w:t>
      </w:r>
    </w:p>
    <w:p w14:paraId="1D04348B" w14:textId="398B0361"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 xml:space="preserve">Henehan, M. J., Rae, J. W. B., Foster, G. L., Erez, J., Prentice, K. C., Kucera, M., Bostock, H. C., </w:t>
      </w:r>
      <w:r w:rsidR="00442EC4" w:rsidRPr="00333322">
        <w:rPr>
          <w:rFonts w:ascii="Times New Roman" w:hAnsi="Times New Roman"/>
          <w:noProof/>
        </w:rPr>
        <w:t>Martìnez-Botì</w:t>
      </w:r>
      <w:r w:rsidRPr="00333322">
        <w:rPr>
          <w:rFonts w:ascii="Times New Roman" w:hAnsi="Times New Roman"/>
          <w:noProof/>
        </w:rPr>
        <w:t>, M. A., Milton, J. A., Wilson, P. A., Marshall, B. J., and Elliott, T., 2013, Calibration of the boron isotope proxy in the planktonic foraminifera Globigerinoides ruber for use in palaeo-CO</w:t>
      </w:r>
      <w:r w:rsidRPr="00333322">
        <w:rPr>
          <w:rFonts w:ascii="Times New Roman" w:hAnsi="Times New Roman"/>
          <w:noProof/>
          <w:vertAlign w:val="subscript"/>
        </w:rPr>
        <w:t>2</w:t>
      </w:r>
      <w:r w:rsidRPr="00333322">
        <w:rPr>
          <w:rFonts w:ascii="Times New Roman" w:hAnsi="Times New Roman"/>
          <w:noProof/>
        </w:rPr>
        <w:t xml:space="preserve"> reconstruction: Earth and Planetary Science Letters, v. 364, no. 0, p. 111-122.</w:t>
      </w:r>
    </w:p>
    <w:p w14:paraId="45608932" w14:textId="7777777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Hindshaw, R. S., Bourdon, B., Pogge von Strandmann, P. A. E., Vigier, N., and Burton, K. W., 2013, The stable calcium isotopic composition of rivers draining basaltic catchments in Iceland: Earth and Planetary Science Letters, v. 374, no. 0, p. 173-184.</w:t>
      </w:r>
    </w:p>
    <w:p w14:paraId="7B4E372F" w14:textId="55B2B6FD" w:rsidR="00C26426" w:rsidRPr="00333322" w:rsidRDefault="00C26426" w:rsidP="00747895">
      <w:pPr>
        <w:pStyle w:val="EndNoteBibliography"/>
        <w:ind w:left="720" w:hanging="720"/>
        <w:rPr>
          <w:rFonts w:ascii="Times New Roman" w:hAnsi="Times New Roman"/>
          <w:noProof/>
        </w:rPr>
      </w:pPr>
      <w:r w:rsidRPr="00333322">
        <w:rPr>
          <w:rFonts w:ascii="Times New Roman" w:hAnsi="Times New Roman"/>
          <w:noProof/>
        </w:rPr>
        <w:t>Hodell, D.A., Mueller, P.A., Garrido, J.R., 1991, Variations in the strontium isotopic composition of seawater during the Neogene</w:t>
      </w:r>
      <w:r w:rsidR="00641E9A">
        <w:rPr>
          <w:rFonts w:ascii="Times New Roman" w:hAnsi="Times New Roman"/>
          <w:noProof/>
        </w:rPr>
        <w:t>:</w:t>
      </w:r>
      <w:r w:rsidRPr="00333322">
        <w:rPr>
          <w:rFonts w:ascii="Times New Roman" w:hAnsi="Times New Roman"/>
          <w:noProof/>
        </w:rPr>
        <w:t xml:space="preserve"> Geology, v.11, p. 24-27.</w:t>
      </w:r>
    </w:p>
    <w:p w14:paraId="237C0EB2" w14:textId="534F00C6"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 xml:space="preserve">Holbourn, A., Kuhnt, W., Simo, J., and Li, Q., 2004, Middle </w:t>
      </w:r>
      <w:r w:rsidR="00641E9A">
        <w:rPr>
          <w:rFonts w:ascii="Times New Roman" w:hAnsi="Times New Roman"/>
          <w:noProof/>
        </w:rPr>
        <w:t>M</w:t>
      </w:r>
      <w:r w:rsidRPr="00333322">
        <w:rPr>
          <w:rFonts w:ascii="Times New Roman" w:hAnsi="Times New Roman"/>
          <w:noProof/>
        </w:rPr>
        <w:t>iocene isotope stratigraphy and paleoceanographic evolution of the northwest and southwest Australian margins (Wombat Plateau and Great Australian Bight): Palaeogeography Palaeoclimatology Palaeoecology,</w:t>
      </w:r>
      <w:r w:rsidR="005D5FEA" w:rsidRPr="00333322">
        <w:rPr>
          <w:rFonts w:ascii="Times New Roman" w:hAnsi="Times New Roman"/>
          <w:noProof/>
        </w:rPr>
        <w:t xml:space="preserve"> v. </w:t>
      </w:r>
      <w:r w:rsidR="00641E9A">
        <w:rPr>
          <w:rStyle w:val="Strong"/>
          <w:rFonts w:ascii="Times New Roman" w:eastAsia="Times New Roman" w:hAnsi="Times New Roman"/>
          <w:b w:val="0"/>
        </w:rPr>
        <w:t>208, no. 1-2</w:t>
      </w:r>
      <w:r w:rsidR="005D5FEA" w:rsidRPr="00333322">
        <w:rPr>
          <w:rStyle w:val="Strong"/>
          <w:rFonts w:ascii="Times New Roman" w:eastAsia="Times New Roman" w:hAnsi="Times New Roman"/>
          <w:b w:val="0"/>
        </w:rPr>
        <w:t>,</w:t>
      </w:r>
      <w:r w:rsidRPr="00333322">
        <w:rPr>
          <w:rFonts w:ascii="Times New Roman" w:hAnsi="Times New Roman"/>
          <w:b/>
          <w:noProof/>
        </w:rPr>
        <w:t xml:space="preserve"> </w:t>
      </w:r>
      <w:r w:rsidRPr="00333322">
        <w:rPr>
          <w:rFonts w:ascii="Times New Roman" w:hAnsi="Times New Roman"/>
          <w:noProof/>
        </w:rPr>
        <w:t>p. 1-22.</w:t>
      </w:r>
    </w:p>
    <w:p w14:paraId="136783C0" w14:textId="05AEF788" w:rsidR="00333322" w:rsidRPr="00333322" w:rsidRDefault="00333322" w:rsidP="00631B5A">
      <w:pPr>
        <w:pStyle w:val="EndNoteBibliography"/>
        <w:ind w:left="709" w:hanging="709"/>
      </w:pPr>
      <w:r w:rsidRPr="00333322">
        <w:t>Holden, P. B., N. R. Edwards, S. A. Müller, K. I. C. Oliver, R. M. De’ath and A. Ridgwell, 2013. Controls on the spatial distribution of oceanic δ</w:t>
      </w:r>
      <w:r w:rsidRPr="00333322">
        <w:rPr>
          <w:vertAlign w:val="superscript"/>
        </w:rPr>
        <w:t>13</w:t>
      </w:r>
      <w:r w:rsidRPr="00333322">
        <w:t>C</w:t>
      </w:r>
      <w:r w:rsidRPr="00333322">
        <w:rPr>
          <w:vertAlign w:val="subscript"/>
        </w:rPr>
        <w:t>DIC</w:t>
      </w:r>
      <w:r w:rsidRPr="00333322">
        <w:t>: Biogeosciences 10, 1815-1833.</w:t>
      </w:r>
    </w:p>
    <w:p w14:paraId="35E70E8B" w14:textId="105348F4" w:rsidR="00747895" w:rsidRPr="00333322" w:rsidRDefault="007957C0" w:rsidP="00747895">
      <w:pPr>
        <w:pStyle w:val="EndNoteBibliography"/>
        <w:ind w:left="720" w:hanging="720"/>
        <w:rPr>
          <w:rFonts w:ascii="Times New Roman" w:hAnsi="Times New Roman"/>
          <w:noProof/>
        </w:rPr>
      </w:pPr>
      <w:r w:rsidRPr="00333322">
        <w:rPr>
          <w:rFonts w:ascii="Times New Roman" w:hAnsi="Times New Roman"/>
          <w:noProof/>
        </w:rPr>
        <w:t>Hönisch</w:t>
      </w:r>
      <w:r w:rsidR="00747895" w:rsidRPr="00333322">
        <w:rPr>
          <w:rFonts w:ascii="Times New Roman" w:hAnsi="Times New Roman"/>
          <w:noProof/>
        </w:rPr>
        <w:t>, B., Hemming, N. G., Archer, D., Siddall, M., and McManus, J. F., 2009, Atmospheric Carbon Dioxide Concentration Across the Mid-Pleistocene Transition: Science, v. 324, no. 5934, p. 1551-1554.</w:t>
      </w:r>
    </w:p>
    <w:p w14:paraId="7C25BDE3" w14:textId="77777777" w:rsidR="00747895" w:rsidRDefault="00747895" w:rsidP="00747895">
      <w:pPr>
        <w:pStyle w:val="EndNoteBibliography"/>
        <w:ind w:left="720" w:hanging="720"/>
        <w:rPr>
          <w:rFonts w:ascii="Times New Roman" w:hAnsi="Times New Roman"/>
          <w:noProof/>
        </w:rPr>
      </w:pPr>
      <w:r w:rsidRPr="00333322">
        <w:rPr>
          <w:rFonts w:ascii="Times New Roman" w:hAnsi="Times New Roman"/>
          <w:noProof/>
        </w:rPr>
        <w:t>Horita, J., Zimmermann, H., and Holland, H. D., 2002, Chemical evolution of seawater during the Phanerozoic: Implications from the record of marine evaporites: Geochimica Et Cosmochimica Acta, v. 66, no. 21, p. 3733-3756.</w:t>
      </w:r>
    </w:p>
    <w:p w14:paraId="5912AC1B" w14:textId="6BD994A7" w:rsidR="00B76596" w:rsidRPr="00333322" w:rsidRDefault="00B76596" w:rsidP="00747895">
      <w:pPr>
        <w:pStyle w:val="EndNoteBibliography"/>
        <w:ind w:left="720" w:hanging="720"/>
        <w:rPr>
          <w:rFonts w:ascii="Times New Roman" w:hAnsi="Times New Roman"/>
          <w:noProof/>
        </w:rPr>
      </w:pPr>
      <w:r>
        <w:rPr>
          <w:rFonts w:ascii="Times New Roman" w:hAnsi="Times New Roman"/>
          <w:noProof/>
        </w:rPr>
        <w:t xml:space="preserve">Kaczmarek, K., Nehrke, G., Misra, S., Bijma, J., Elderfield, H., 2016, Investigating the effects of growth rate and temperature on the B/Ca ratio and </w:t>
      </w:r>
      <w:r w:rsidRPr="00333322">
        <w:t>δ</w:t>
      </w:r>
      <w:r w:rsidRPr="00333322">
        <w:rPr>
          <w:vertAlign w:val="superscript"/>
        </w:rPr>
        <w:t>1</w:t>
      </w:r>
      <w:r>
        <w:rPr>
          <w:vertAlign w:val="superscript"/>
        </w:rPr>
        <w:t>1</w:t>
      </w:r>
      <w:r>
        <w:t>B during inorganic calcite formation, v. 421, p. 81-92.</w:t>
      </w:r>
    </w:p>
    <w:p w14:paraId="4EF2B409" w14:textId="44777FFD" w:rsidR="00747895" w:rsidRDefault="00747895" w:rsidP="00747895">
      <w:pPr>
        <w:pStyle w:val="EndNoteBibliography"/>
        <w:ind w:left="720" w:hanging="720"/>
        <w:rPr>
          <w:rFonts w:ascii="Times New Roman" w:hAnsi="Times New Roman"/>
          <w:noProof/>
        </w:rPr>
      </w:pPr>
      <w:r w:rsidRPr="00333322">
        <w:rPr>
          <w:rFonts w:ascii="Times New Roman" w:hAnsi="Times New Roman"/>
          <w:noProof/>
        </w:rPr>
        <w:t xml:space="preserve">Kakihana, H., Kotaka, M., Satoh, S., Nomura, M., and Okamoto, M., 1977, </w:t>
      </w:r>
      <w:r w:rsidR="005D5FEA" w:rsidRPr="00333322">
        <w:rPr>
          <w:rFonts w:ascii="Times New Roman" w:hAnsi="Times New Roman"/>
          <w:noProof/>
        </w:rPr>
        <w:t>Fundamental studies on ion-exchange separation of boron isotopes</w:t>
      </w:r>
      <w:r w:rsidRPr="00333322">
        <w:rPr>
          <w:rFonts w:ascii="Times New Roman" w:hAnsi="Times New Roman"/>
          <w:noProof/>
        </w:rPr>
        <w:t>: Bulletin of the Chemical Society of Japan, v. 50, no. 1, p. 158-163.</w:t>
      </w:r>
    </w:p>
    <w:p w14:paraId="53A5417B" w14:textId="57C33A83" w:rsidR="00FD7A2A" w:rsidRPr="00333322" w:rsidRDefault="00FD7A2A" w:rsidP="00747895">
      <w:pPr>
        <w:pStyle w:val="EndNoteBibliography"/>
        <w:ind w:left="720" w:hanging="720"/>
        <w:rPr>
          <w:rFonts w:ascii="Times New Roman" w:hAnsi="Times New Roman"/>
          <w:noProof/>
        </w:rPr>
      </w:pPr>
      <w:r>
        <w:rPr>
          <w:rFonts w:ascii="Times New Roman" w:hAnsi="Times New Roman"/>
          <w:noProof/>
        </w:rPr>
        <w:t xml:space="preserve">Keeling, C.D., 1979, </w:t>
      </w:r>
      <w:r w:rsidRPr="00FD7A2A">
        <w:rPr>
          <w:rFonts w:eastAsiaTheme="minorEastAsia" w:cs="Arial"/>
          <w:color w:val="202020"/>
          <w:lang w:eastAsia="ja-JP"/>
        </w:rPr>
        <w:t xml:space="preserve">The Suess effect: </w:t>
      </w:r>
      <w:r w:rsidRPr="00FD7A2A">
        <w:rPr>
          <w:rFonts w:eastAsiaTheme="minorEastAsia" w:cs="Arial"/>
          <w:color w:val="202020"/>
          <w:vertAlign w:val="superscript"/>
          <w:lang w:eastAsia="ja-JP"/>
        </w:rPr>
        <w:t>13</w:t>
      </w:r>
      <w:r w:rsidRPr="00FD7A2A">
        <w:rPr>
          <w:rFonts w:eastAsiaTheme="minorEastAsia" w:cs="Arial"/>
          <w:color w:val="202020"/>
          <w:lang w:eastAsia="ja-JP"/>
        </w:rPr>
        <w:t>Carbon-</w:t>
      </w:r>
      <w:r w:rsidRPr="00FD7A2A">
        <w:rPr>
          <w:rFonts w:eastAsiaTheme="minorEastAsia" w:cs="Arial"/>
          <w:color w:val="202020"/>
          <w:vertAlign w:val="superscript"/>
          <w:lang w:eastAsia="ja-JP"/>
        </w:rPr>
        <w:t>14</w:t>
      </w:r>
      <w:r w:rsidRPr="00FD7A2A">
        <w:rPr>
          <w:rFonts w:eastAsiaTheme="minorEastAsia" w:cs="Arial"/>
          <w:color w:val="202020"/>
          <w:lang w:eastAsia="ja-JP"/>
        </w:rPr>
        <w:t>Carbon interrelations</w:t>
      </w:r>
      <w:r>
        <w:rPr>
          <w:rFonts w:eastAsiaTheme="minorEastAsia" w:cs="Arial"/>
          <w:color w:val="202020"/>
          <w:lang w:eastAsia="ja-JP"/>
        </w:rPr>
        <w:t>: Environment International, v. 2, no. 4-6, p. 229-300.</w:t>
      </w:r>
    </w:p>
    <w:p w14:paraId="4FF19FCD" w14:textId="6FDE256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 xml:space="preserve">Key, R. M., Kozyr, A., Sabine, C. L., Lee, K., Wanninkhof, R., Bullister, J. L., Feely, R. A., Millero, F. J., Mordy, C., and Peng, T. H., 2004, A global ocean carbon climatology: Results from Global Data Analysis Project (GLODAP): Global Biogeochem. Cycles, v. 18, no. 4, </w:t>
      </w:r>
      <w:r w:rsidR="005D5FEA" w:rsidRPr="00333322">
        <w:rPr>
          <w:rStyle w:val="Emphasis"/>
          <w:rFonts w:ascii="Times New Roman" w:eastAsia="Times New Roman" w:hAnsi="Times New Roman"/>
          <w:i w:val="0"/>
        </w:rPr>
        <w:t>doi</w:t>
      </w:r>
      <w:r w:rsidR="005D5FEA" w:rsidRPr="00333322">
        <w:rPr>
          <w:rStyle w:val="st"/>
          <w:rFonts w:ascii="Times New Roman" w:eastAsia="Times New Roman" w:hAnsi="Times New Roman"/>
        </w:rPr>
        <w:t>:10.1029/</w:t>
      </w:r>
      <w:r w:rsidR="005D5FEA" w:rsidRPr="00333322">
        <w:rPr>
          <w:rStyle w:val="Emphasis"/>
          <w:rFonts w:ascii="Times New Roman" w:eastAsia="Times New Roman" w:hAnsi="Times New Roman"/>
          <w:i w:val="0"/>
        </w:rPr>
        <w:t>2004GB002247</w:t>
      </w:r>
      <w:r w:rsidRPr="00333322">
        <w:rPr>
          <w:rFonts w:ascii="Times New Roman" w:hAnsi="Times New Roman"/>
          <w:noProof/>
        </w:rPr>
        <w:t>.</w:t>
      </w:r>
    </w:p>
    <w:p w14:paraId="038C4FD9" w14:textId="04936D02"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 xml:space="preserve">Kısakűrek, B., James, R. H., and Harris, N. B. W., 2005, Li and </w:t>
      </w:r>
      <w:r w:rsidR="00641E9A" w:rsidRPr="00641E9A">
        <w:rPr>
          <w:rFonts w:ascii="Times New Roman" w:hAnsi="Times New Roman"/>
          <w:noProof/>
          <w:color w:val="000000"/>
          <w:szCs w:val="18"/>
        </w:rPr>
        <w:t>δ</w:t>
      </w:r>
      <w:r w:rsidR="00641E9A">
        <w:rPr>
          <w:rFonts w:ascii="Times New Roman" w:hAnsi="Times New Roman"/>
          <w:noProof/>
          <w:color w:val="000000"/>
          <w:szCs w:val="12"/>
          <w:vertAlign w:val="superscript"/>
        </w:rPr>
        <w:t>7</w:t>
      </w:r>
      <w:r w:rsidR="00641E9A">
        <w:rPr>
          <w:rFonts w:ascii="Times New Roman" w:hAnsi="Times New Roman"/>
          <w:noProof/>
          <w:color w:val="000000"/>
          <w:szCs w:val="18"/>
        </w:rPr>
        <w:t>Li</w:t>
      </w:r>
      <w:r w:rsidR="00641E9A">
        <w:rPr>
          <w:rFonts w:ascii="Times New Roman" w:hAnsi="Times New Roman"/>
          <w:noProof/>
        </w:rPr>
        <w:t xml:space="preserve"> </w:t>
      </w:r>
      <w:r w:rsidRPr="00333322">
        <w:rPr>
          <w:rFonts w:ascii="Times New Roman" w:hAnsi="Times New Roman"/>
          <w:noProof/>
        </w:rPr>
        <w:t>in Himalayan rivers: Proxies for silicate weathering?: Earth and Planetary Science Letters, v. 237, no. 3–4, p. 387-401.</w:t>
      </w:r>
    </w:p>
    <w:p w14:paraId="38DFD92D" w14:textId="7777777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Klochko, K., Kaufman, A. J., Yao, W. S., Byrne, R. H., and Tossell, J. A., 2006, Experimental measurement of boron isotope fractionation in seawater: Earth and Planetary Science Letters, v. 248, no. 1-2, p. 276-285.</w:t>
      </w:r>
    </w:p>
    <w:p w14:paraId="7E9B66AA" w14:textId="06F9D5E1"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Lear, C. H., Mawbey, E. M., and Rosenthal, Y., 2010, Cenozoic benthic foraminiferal Mg/Ca and Li/Ca records: Toward unlocking temperatures and saturation states: Paleoceanography, v. 25</w:t>
      </w:r>
      <w:r w:rsidR="005D5FEA" w:rsidRPr="00333322">
        <w:rPr>
          <w:rFonts w:ascii="Times New Roman" w:hAnsi="Times New Roman"/>
          <w:noProof/>
        </w:rPr>
        <w:t xml:space="preserve">, </w:t>
      </w:r>
      <w:r w:rsidR="005D5FEA" w:rsidRPr="00641E9A">
        <w:rPr>
          <w:rFonts w:ascii="Times New Roman" w:eastAsia="Times New Roman" w:hAnsi="Times New Roman"/>
          <w:lang w:val="en-GB"/>
        </w:rPr>
        <w:t>doi:10.1029/2009PA001880</w:t>
      </w:r>
      <w:r w:rsidRPr="00641E9A">
        <w:rPr>
          <w:rFonts w:ascii="Times New Roman" w:hAnsi="Times New Roman"/>
          <w:noProof/>
        </w:rPr>
        <w:t>.</w:t>
      </w:r>
    </w:p>
    <w:p w14:paraId="2ABE875D" w14:textId="7777777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Lee, K., Kim, T. W., Byrne, R. H., Millero, F. J., Feely, R. A., and Liu, Y. M., 2010, The universal ratio of boron to chlorinity for the North Pacific and North Atlantic oceans: Geochimica Et Cosmochimica Acta, v. 74, no. 6, p. 1801-1811.</w:t>
      </w:r>
    </w:p>
    <w:p w14:paraId="6A5BBB25" w14:textId="7777777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Lemarchand, D., and Gaillardet, J., 2006, Transient features of the erosion of shales in the Mackenzie basin (Canada), evidences from boron isotopes: Earth and Planetary Science Letters, v. 245, no. 1–2, p. 174-189.</w:t>
      </w:r>
    </w:p>
    <w:p w14:paraId="5C277BC4" w14:textId="48C963C1" w:rsidR="00747895" w:rsidRDefault="00747895" w:rsidP="00747895">
      <w:pPr>
        <w:pStyle w:val="EndNoteBibliography"/>
        <w:ind w:left="720" w:hanging="720"/>
        <w:rPr>
          <w:rFonts w:ascii="Times New Roman" w:hAnsi="Times New Roman"/>
          <w:noProof/>
        </w:rPr>
      </w:pPr>
      <w:r w:rsidRPr="00333322">
        <w:rPr>
          <w:rFonts w:ascii="Times New Roman" w:hAnsi="Times New Roman"/>
          <w:noProof/>
        </w:rPr>
        <w:t>Lemarchand, D., Gaillardet, J., Lewin, E., and Allegre, C. J., 200</w:t>
      </w:r>
      <w:r w:rsidR="00102A50">
        <w:rPr>
          <w:rFonts w:ascii="Times New Roman" w:hAnsi="Times New Roman"/>
          <w:noProof/>
        </w:rPr>
        <w:t>0</w:t>
      </w:r>
      <w:r w:rsidRPr="00333322">
        <w:rPr>
          <w:rFonts w:ascii="Times New Roman" w:hAnsi="Times New Roman"/>
          <w:noProof/>
        </w:rPr>
        <w:t>,</w:t>
      </w:r>
      <w:r w:rsidRPr="00102A50">
        <w:rPr>
          <w:rFonts w:ascii="Times New Roman" w:hAnsi="Times New Roman"/>
          <w:noProof/>
        </w:rPr>
        <w:t xml:space="preserve"> </w:t>
      </w:r>
      <w:r w:rsidR="00102A50" w:rsidRPr="00CE1586">
        <w:rPr>
          <w:rFonts w:ascii="Times New Roman" w:eastAsiaTheme="minorEastAsia" w:hAnsi="Times New Roman"/>
          <w:lang w:eastAsia="ja-JP"/>
        </w:rPr>
        <w:t>The influence of rivers on marine boron isotopes and implications for reconstructing past ocean pH</w:t>
      </w:r>
      <w:r w:rsidRPr="00333322">
        <w:rPr>
          <w:rFonts w:ascii="Times New Roman" w:hAnsi="Times New Roman"/>
          <w:noProof/>
        </w:rPr>
        <w:t xml:space="preserve">: </w:t>
      </w:r>
      <w:r w:rsidR="00102A50">
        <w:rPr>
          <w:rFonts w:ascii="Times New Roman" w:hAnsi="Times New Roman"/>
          <w:noProof/>
        </w:rPr>
        <w:t>Nature</w:t>
      </w:r>
      <w:r w:rsidRPr="00333322">
        <w:rPr>
          <w:rFonts w:ascii="Times New Roman" w:hAnsi="Times New Roman"/>
          <w:noProof/>
        </w:rPr>
        <w:t xml:space="preserve">, v. </w:t>
      </w:r>
      <w:r w:rsidR="00102A50">
        <w:rPr>
          <w:rFonts w:ascii="Times New Roman" w:hAnsi="Times New Roman"/>
          <w:noProof/>
        </w:rPr>
        <w:t>408</w:t>
      </w:r>
      <w:r w:rsidRPr="00333322">
        <w:rPr>
          <w:rFonts w:ascii="Times New Roman" w:hAnsi="Times New Roman"/>
          <w:noProof/>
        </w:rPr>
        <w:t xml:space="preserve">, p. </w:t>
      </w:r>
      <w:r w:rsidR="00102A50">
        <w:rPr>
          <w:rFonts w:ascii="Times New Roman" w:hAnsi="Times New Roman"/>
          <w:noProof/>
        </w:rPr>
        <w:t>951</w:t>
      </w:r>
      <w:r w:rsidRPr="00333322">
        <w:rPr>
          <w:rFonts w:ascii="Times New Roman" w:hAnsi="Times New Roman"/>
          <w:noProof/>
        </w:rPr>
        <w:t>-</w:t>
      </w:r>
      <w:r w:rsidR="00102A50">
        <w:rPr>
          <w:rFonts w:ascii="Times New Roman" w:hAnsi="Times New Roman"/>
          <w:noProof/>
        </w:rPr>
        <w:t>954</w:t>
      </w:r>
      <w:r w:rsidRPr="00333322">
        <w:rPr>
          <w:rFonts w:ascii="Times New Roman" w:hAnsi="Times New Roman"/>
          <w:noProof/>
        </w:rPr>
        <w:t>.</w:t>
      </w:r>
    </w:p>
    <w:p w14:paraId="02C6E38A" w14:textId="26197B39" w:rsidR="004D6322" w:rsidRPr="00333322" w:rsidRDefault="004D6322" w:rsidP="00747895">
      <w:pPr>
        <w:pStyle w:val="EndNoteBibliography"/>
        <w:ind w:left="720" w:hanging="720"/>
        <w:rPr>
          <w:rFonts w:ascii="Times New Roman" w:hAnsi="Times New Roman"/>
          <w:noProof/>
        </w:rPr>
      </w:pPr>
      <w:r>
        <w:rPr>
          <w:rFonts w:ascii="Times New Roman" w:hAnsi="Times New Roman"/>
          <w:noProof/>
        </w:rPr>
        <w:t>Li, G.-J. and West, A.J., 2014, Evolution of Cenozoic seawater lithium isotopes: coupling of global denudation reg</w:t>
      </w:r>
      <w:r w:rsidR="003A7349">
        <w:rPr>
          <w:rFonts w:ascii="Times New Roman" w:hAnsi="Times New Roman"/>
          <w:noProof/>
        </w:rPr>
        <w:t>ime and shifting seawater sinks:</w:t>
      </w:r>
      <w:r>
        <w:rPr>
          <w:rFonts w:ascii="Times New Roman" w:hAnsi="Times New Roman"/>
          <w:noProof/>
        </w:rPr>
        <w:t xml:space="preserve"> Earth Planet. Sci. Lett., v. 401, p. 284-293.</w:t>
      </w:r>
    </w:p>
    <w:p w14:paraId="71C3FBAC" w14:textId="7777777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Liu, W. G., Xiao, Y. K., Peng, Z. C., An, Z. S., and He, X. X., 2000, Boron concentration and isotopic composition of halite from experiments and salt lakes in the Qaidam Basin: Geochimica Et Cosmochimica Acta, v. 64, no. 13, p. 2177-2183.</w:t>
      </w:r>
    </w:p>
    <w:p w14:paraId="069ADDCA" w14:textId="7777777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Liu, X.-M., Wanner, C., Rudnick, R. L., and McDonough, W. F., 2015, Processes controlling δ</w:t>
      </w:r>
      <w:r w:rsidRPr="00641E9A">
        <w:rPr>
          <w:rFonts w:ascii="Times New Roman" w:hAnsi="Times New Roman"/>
          <w:noProof/>
          <w:vertAlign w:val="superscript"/>
        </w:rPr>
        <w:t>7</w:t>
      </w:r>
      <w:r w:rsidRPr="00333322">
        <w:rPr>
          <w:rFonts w:ascii="Times New Roman" w:hAnsi="Times New Roman"/>
          <w:noProof/>
        </w:rPr>
        <w:t>Li in rivers illuminated by study of streams and groundwaters draining basalts: Earth and Planetary Science Letters, v. 409, no. 0, p. 212-224.</w:t>
      </w:r>
    </w:p>
    <w:p w14:paraId="2081985C" w14:textId="6D8FC47D" w:rsidR="008340BB" w:rsidRPr="00333322" w:rsidRDefault="008340BB" w:rsidP="008340BB">
      <w:pPr>
        <w:pStyle w:val="EndNoteBibliography"/>
        <w:ind w:left="720" w:hanging="720"/>
        <w:rPr>
          <w:rFonts w:ascii="Times New Roman" w:hAnsi="Times New Roman"/>
          <w:noProof/>
        </w:rPr>
      </w:pPr>
      <w:r w:rsidRPr="00333322">
        <w:rPr>
          <w:rFonts w:ascii="Times New Roman" w:hAnsi="Times New Roman"/>
          <w:noProof/>
        </w:rPr>
        <w:t>Lynch-Steiglitz, J., T.F. Stocker, W.S. Broecker and R.G. Fairbanks (1995), The influence of air-sea exchange on the isotopic composition of oceanic carbon: Observations and modeling</w:t>
      </w:r>
      <w:r w:rsidR="00641E9A">
        <w:rPr>
          <w:rFonts w:ascii="Times New Roman" w:hAnsi="Times New Roman"/>
          <w:noProof/>
        </w:rPr>
        <w:t>:</w:t>
      </w:r>
      <w:r w:rsidRPr="00333322">
        <w:rPr>
          <w:rFonts w:ascii="Times New Roman" w:hAnsi="Times New Roman"/>
          <w:noProof/>
        </w:rPr>
        <w:t xml:space="preserve"> Global Biogeochemical Cycles, vol. 9, 4, p653-665.</w:t>
      </w:r>
    </w:p>
    <w:p w14:paraId="7E3B3BDC" w14:textId="1C161373" w:rsidR="00747895" w:rsidRPr="00333322" w:rsidRDefault="00442EC4" w:rsidP="00747895">
      <w:pPr>
        <w:pStyle w:val="EndNoteBibliography"/>
        <w:ind w:left="720" w:hanging="720"/>
        <w:rPr>
          <w:rFonts w:ascii="Times New Roman" w:hAnsi="Times New Roman"/>
          <w:noProof/>
        </w:rPr>
      </w:pPr>
      <w:r w:rsidRPr="00333322">
        <w:rPr>
          <w:rFonts w:ascii="Times New Roman" w:hAnsi="Times New Roman"/>
          <w:noProof/>
        </w:rPr>
        <w:t>Martìnez-Botì</w:t>
      </w:r>
      <w:r w:rsidR="00747895" w:rsidRPr="00333322">
        <w:rPr>
          <w:rFonts w:ascii="Times New Roman" w:hAnsi="Times New Roman"/>
          <w:noProof/>
        </w:rPr>
        <w:t xml:space="preserve">, M. A., Foster, G. L., Chalk, T. B., Rohling, E. J., Sexton, P. F., Lunt, D. J., Pancost, R. D., Badger, M. P. S., and Schmidt, D. N., </w:t>
      </w:r>
      <w:r w:rsidR="005D5FEA" w:rsidRPr="00333322">
        <w:rPr>
          <w:rFonts w:ascii="Times New Roman" w:hAnsi="Times New Roman"/>
          <w:noProof/>
        </w:rPr>
        <w:t>2015</w:t>
      </w:r>
      <w:r w:rsidRPr="00333322">
        <w:rPr>
          <w:rFonts w:ascii="Times New Roman" w:hAnsi="Times New Roman"/>
          <w:noProof/>
        </w:rPr>
        <w:t>a</w:t>
      </w:r>
      <w:r w:rsidR="00747895" w:rsidRPr="00333322">
        <w:rPr>
          <w:rFonts w:ascii="Times New Roman" w:hAnsi="Times New Roman"/>
          <w:noProof/>
        </w:rPr>
        <w:t>, Plio-Pleistocene climate sensitivity from on a new high-resolution CO</w:t>
      </w:r>
      <w:r w:rsidR="00747895" w:rsidRPr="00333322">
        <w:rPr>
          <w:rFonts w:ascii="Times New Roman" w:hAnsi="Times New Roman"/>
          <w:noProof/>
          <w:vertAlign w:val="subscript"/>
        </w:rPr>
        <w:t>2</w:t>
      </w:r>
      <w:r w:rsidR="005D5FEA" w:rsidRPr="00333322">
        <w:rPr>
          <w:rFonts w:ascii="Times New Roman" w:hAnsi="Times New Roman"/>
          <w:noProof/>
        </w:rPr>
        <w:t xml:space="preserve"> record</w:t>
      </w:r>
      <w:r w:rsidR="00641E9A">
        <w:rPr>
          <w:rFonts w:ascii="Times New Roman" w:hAnsi="Times New Roman"/>
          <w:noProof/>
        </w:rPr>
        <w:t>:</w:t>
      </w:r>
      <w:r w:rsidR="005D5FEA" w:rsidRPr="00333322">
        <w:rPr>
          <w:rFonts w:ascii="Times New Roman" w:hAnsi="Times New Roman"/>
          <w:noProof/>
        </w:rPr>
        <w:t xml:space="preserve"> Nature, v. 518, </w:t>
      </w:r>
      <w:r w:rsidR="007A700D" w:rsidRPr="00333322">
        <w:rPr>
          <w:rFonts w:ascii="Times New Roman" w:hAnsi="Times New Roman"/>
          <w:noProof/>
        </w:rPr>
        <w:t xml:space="preserve">p. </w:t>
      </w:r>
      <w:r w:rsidR="005D5FEA" w:rsidRPr="00333322">
        <w:rPr>
          <w:rFonts w:ascii="Times New Roman" w:hAnsi="Times New Roman"/>
          <w:noProof/>
        </w:rPr>
        <w:t>49-54.</w:t>
      </w:r>
    </w:p>
    <w:p w14:paraId="194B02F3" w14:textId="77777777" w:rsidR="00442EC4" w:rsidRPr="00333322" w:rsidRDefault="00442EC4" w:rsidP="00442EC4">
      <w:pPr>
        <w:pStyle w:val="EndNoteBibliography"/>
        <w:ind w:left="709" w:hanging="720"/>
        <w:rPr>
          <w:rFonts w:ascii="Times New Roman" w:hAnsi="Times New Roman"/>
          <w:noProof/>
        </w:rPr>
      </w:pPr>
      <w:r w:rsidRPr="00333322">
        <w:rPr>
          <w:rFonts w:ascii="Times New Roman" w:hAnsi="Times New Roman"/>
          <w:noProof/>
        </w:rPr>
        <w:t xml:space="preserve">Martìnez-Botì, M.A., </w:t>
      </w:r>
      <w:r w:rsidRPr="00333322">
        <w:rPr>
          <w:rFonts w:ascii="Times New Roman" w:hAnsi="Times New Roman"/>
        </w:rPr>
        <w:t>Marino, G., Foster, G. L., Ziveri, P., Henehan, M. J., Rae, J. W. B., Mortyn, P. G. and Vance, D., 2015b, Boron isotope evidence for oceanic CO</w:t>
      </w:r>
      <w:r w:rsidRPr="00333322">
        <w:rPr>
          <w:rFonts w:ascii="Times New Roman" w:hAnsi="Times New Roman"/>
          <w:vertAlign w:val="subscript"/>
        </w:rPr>
        <w:t>2</w:t>
      </w:r>
      <w:r w:rsidRPr="00333322">
        <w:rPr>
          <w:rFonts w:ascii="Times New Roman" w:hAnsi="Times New Roman"/>
        </w:rPr>
        <w:t xml:space="preserve"> leakage during the last deglaciation: Nature, v. 518, p. 219-222.</w:t>
      </w:r>
    </w:p>
    <w:p w14:paraId="417470F1" w14:textId="46412122"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McCorkle, D. C., Corliss, B. H., and Farnham, C. A., 1997, Vertical distributions and stable isotopic compositions of live (stained) benthic foraminifera from the North Carolina and California continental margins: Deep Sea Research Part I: Oceanographic Research Papers, v. 44, no. 6, p. 983-1024.</w:t>
      </w:r>
    </w:p>
    <w:p w14:paraId="2B1D9782" w14:textId="7777777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Millot, R., Vigier, N., and Gaillardet, J., 2010, Behaviour of lithium and its isotopes during weathering in the Mackenzie Basin, Canada: Geochimica et Cosmochimica Acta, v. 74, no. 14, p. 3897-3912.</w:t>
      </w:r>
    </w:p>
    <w:p w14:paraId="294A146B" w14:textId="7777777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Misra, S., and Froelich, P., 2012, Lithium Isotope History of Cenozoic Seawater: Changes in Silicate Weathering and Reverse Weathering: Science, v. 335, no. 6070, p. 818-823.</w:t>
      </w:r>
    </w:p>
    <w:p w14:paraId="19FE1D92" w14:textId="0F3080BC" w:rsidR="00747895" w:rsidRPr="00333322" w:rsidRDefault="00747895" w:rsidP="00631B5A">
      <w:pPr>
        <w:pStyle w:val="EndNoteBibliography"/>
        <w:ind w:left="709" w:hanging="709"/>
      </w:pPr>
      <w:r w:rsidRPr="00333322">
        <w:t>Ockert, C., Gussone, N., Kaufhold, S., Teichert, B.M.A., 2013, Isotope fractionation during Ca exchange on clay minerals in a marine environment</w:t>
      </w:r>
      <w:r w:rsidR="00641E9A">
        <w:t>:</w:t>
      </w:r>
      <w:r w:rsidRPr="00333322">
        <w:t xml:space="preserve"> Geochimica et Cosmochimica Acta, v. 112, p. 374-388.</w:t>
      </w:r>
    </w:p>
    <w:p w14:paraId="717E01C4" w14:textId="48FC3AB5" w:rsidR="005776A4" w:rsidRPr="00333322" w:rsidRDefault="005776A4" w:rsidP="006A4705">
      <w:pPr>
        <w:widowControl w:val="0"/>
        <w:autoSpaceDE w:val="0"/>
        <w:autoSpaceDN w:val="0"/>
        <w:adjustRightInd w:val="0"/>
        <w:spacing w:after="0" w:line="240" w:lineRule="auto"/>
        <w:ind w:left="709" w:hanging="709"/>
        <w:rPr>
          <w:rFonts w:ascii="Times New Roman" w:eastAsiaTheme="minorEastAsia" w:hAnsi="Times New Roman"/>
          <w:lang w:val="en-US" w:eastAsia="ja-JP"/>
        </w:rPr>
      </w:pPr>
      <w:r w:rsidRPr="00333322">
        <w:rPr>
          <w:rFonts w:ascii="Times New Roman" w:eastAsiaTheme="minorEastAsia" w:hAnsi="Times New Roman"/>
          <w:lang w:val="en-US" w:eastAsia="ja-JP"/>
        </w:rPr>
        <w:t xml:space="preserve">Olsen, A., Ninneman, U.S., 2010, Large </w:t>
      </w:r>
      <w:r w:rsidRPr="00333322">
        <w:rPr>
          <w:rFonts w:ascii="Times New Roman" w:eastAsiaTheme="minorEastAsia" w:hAnsi="Times New Roman"/>
          <w:color w:val="000000"/>
          <w:lang w:val="en-US" w:eastAsia="ja-JP"/>
        </w:rPr>
        <w:t>δ</w:t>
      </w:r>
      <w:r w:rsidRPr="00333322">
        <w:rPr>
          <w:rFonts w:ascii="Times New Roman" w:eastAsiaTheme="minorEastAsia" w:hAnsi="Times New Roman"/>
          <w:color w:val="000000"/>
          <w:vertAlign w:val="superscript"/>
          <w:lang w:val="en-US" w:eastAsia="ja-JP"/>
        </w:rPr>
        <w:t>13</w:t>
      </w:r>
      <w:r w:rsidRPr="00333322">
        <w:rPr>
          <w:rFonts w:ascii="Times New Roman" w:eastAsiaTheme="minorEastAsia" w:hAnsi="Times New Roman"/>
          <w:color w:val="000000"/>
          <w:lang w:val="en-US" w:eastAsia="ja-JP"/>
        </w:rPr>
        <w:t>C</w:t>
      </w:r>
      <w:r w:rsidRPr="00333322">
        <w:rPr>
          <w:rFonts w:ascii="Times New Roman" w:eastAsiaTheme="minorEastAsia" w:hAnsi="Times New Roman"/>
          <w:lang w:val="en-US" w:eastAsia="ja-JP"/>
        </w:rPr>
        <w:t xml:space="preserve"> gradients in the preindustrial North Atlantic revealed</w:t>
      </w:r>
      <w:r w:rsidR="00641E9A">
        <w:rPr>
          <w:rFonts w:ascii="Times New Roman" w:eastAsiaTheme="minorEastAsia" w:hAnsi="Times New Roman"/>
          <w:lang w:val="en-US" w:eastAsia="ja-JP"/>
        </w:rPr>
        <w:t>:</w:t>
      </w:r>
      <w:r w:rsidRPr="00333322">
        <w:rPr>
          <w:rFonts w:ascii="Times New Roman" w:eastAsiaTheme="minorEastAsia" w:hAnsi="Times New Roman"/>
          <w:lang w:val="en-US" w:eastAsia="ja-JP"/>
        </w:rPr>
        <w:t xml:space="preserve"> Science, v. 330, p. 658–659.</w:t>
      </w:r>
    </w:p>
    <w:p w14:paraId="3467F347" w14:textId="77777777" w:rsidR="00512CC1" w:rsidRPr="00333322" w:rsidRDefault="00512CC1" w:rsidP="00512CC1">
      <w:pPr>
        <w:pStyle w:val="EndNoteBibliography"/>
        <w:ind w:left="720" w:hanging="720"/>
        <w:rPr>
          <w:rFonts w:ascii="Times New Roman" w:hAnsi="Times New Roman"/>
          <w:noProof/>
        </w:rPr>
      </w:pPr>
      <w:r w:rsidRPr="00333322">
        <w:rPr>
          <w:rFonts w:ascii="Times New Roman" w:hAnsi="Times New Roman"/>
          <w:noProof/>
        </w:rPr>
        <w:t xml:space="preserve">Pälike, H., Lyle, M., Nishi, H., Raffi, I., Ridgwell, A., Gamage, K., Klaus, A., Acton, G., Anderson, L., Backman, J., Baldauf, J., Beltran, C., </w:t>
      </w:r>
      <w:r w:rsidRPr="00333322">
        <w:rPr>
          <w:rFonts w:ascii="Times New Roman" w:hAnsi="Times New Roman"/>
          <w:i/>
          <w:noProof/>
        </w:rPr>
        <w:t>et al.</w:t>
      </w:r>
      <w:r w:rsidRPr="00333322">
        <w:rPr>
          <w:rFonts w:ascii="Times New Roman" w:hAnsi="Times New Roman"/>
          <w:noProof/>
        </w:rPr>
        <w:t xml:space="preserve"> 2012, A Cenozoic record of the equatorial Pacific carbonate compensation depth: Nature, v. 488, no. 7413, p. 609-614.</w:t>
      </w:r>
    </w:p>
    <w:p w14:paraId="44C13591" w14:textId="77777777" w:rsidR="00747895" w:rsidRPr="00333322" w:rsidRDefault="00747895" w:rsidP="00747895">
      <w:pPr>
        <w:pStyle w:val="EndNoteBibliography"/>
        <w:ind w:left="709" w:hanging="709"/>
        <w:rPr>
          <w:rFonts w:ascii="Times New Roman" w:hAnsi="Times New Roman"/>
          <w:noProof/>
        </w:rPr>
      </w:pPr>
      <w:r w:rsidRPr="00333322">
        <w:rPr>
          <w:rFonts w:ascii="Times New Roman" w:hAnsi="Times New Roman"/>
          <w:noProof/>
        </w:rPr>
        <w:t>Palmer, M. R., Pearson, P. N., and Cobb, S. J., 1998, Reconstructing past ocean pH-depth profiles: Science, v. 282, no. 5393, p. 1468-1471.</w:t>
      </w:r>
    </w:p>
    <w:p w14:paraId="4330D91D" w14:textId="7777777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Paris, G., Gaillardet, J., and Louvat, P., 2010, Geological evolution of seawater boron isotopic composition recorded in evaporites: Geology, v. 38, no. 11, p. 1035-1038.</w:t>
      </w:r>
    </w:p>
    <w:p w14:paraId="4405F46B" w14:textId="7F889A93"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 xml:space="preserve">Park, H., and Schlesinger, W. H., 2002, Global biogeochemical cycle of boron: Global Biogeochemical Cycles, v. 16, no. 4, </w:t>
      </w:r>
      <w:r w:rsidR="007A700D" w:rsidRPr="00333322">
        <w:rPr>
          <w:rStyle w:val="Emphasis"/>
          <w:rFonts w:ascii="Times New Roman" w:eastAsia="Times New Roman" w:hAnsi="Times New Roman"/>
          <w:i w:val="0"/>
        </w:rPr>
        <w:t>DOI</w:t>
      </w:r>
      <w:r w:rsidR="007A700D" w:rsidRPr="00333322">
        <w:rPr>
          <w:rStyle w:val="st"/>
          <w:rFonts w:ascii="Times New Roman" w:eastAsia="Times New Roman" w:hAnsi="Times New Roman"/>
        </w:rPr>
        <w:t>: 10.1029/2001GB001766</w:t>
      </w:r>
      <w:r w:rsidRPr="00333322">
        <w:rPr>
          <w:rFonts w:ascii="Times New Roman" w:hAnsi="Times New Roman"/>
          <w:noProof/>
        </w:rPr>
        <w:t>.</w:t>
      </w:r>
    </w:p>
    <w:p w14:paraId="337E8044" w14:textId="2707C465"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Pearson, P. N., Foster, G. L., and Wade, B. S., 2009, Atmospheric carbon dioxide through the Eocene-Oligocene climate transition: Nature, v. 461, p. 1110-</w:t>
      </w:r>
      <w:r w:rsidR="007A700D" w:rsidRPr="00333322">
        <w:rPr>
          <w:rFonts w:ascii="Times New Roman" w:hAnsi="Times New Roman"/>
          <w:noProof/>
        </w:rPr>
        <w:t>1113</w:t>
      </w:r>
      <w:r w:rsidRPr="00333322">
        <w:rPr>
          <w:rFonts w:ascii="Times New Roman" w:hAnsi="Times New Roman"/>
          <w:noProof/>
        </w:rPr>
        <w:t>.</w:t>
      </w:r>
    </w:p>
    <w:p w14:paraId="75A741CB" w14:textId="77777777" w:rsidR="00E7397D" w:rsidRPr="00333322" w:rsidRDefault="00E7397D" w:rsidP="00E7397D">
      <w:pPr>
        <w:pStyle w:val="EndNoteBibliography"/>
        <w:ind w:left="720" w:hanging="720"/>
        <w:rPr>
          <w:rFonts w:ascii="Times New Roman" w:hAnsi="Times New Roman"/>
          <w:noProof/>
        </w:rPr>
      </w:pPr>
      <w:r w:rsidRPr="00333322">
        <w:rPr>
          <w:rFonts w:ascii="Times New Roman" w:hAnsi="Times New Roman"/>
          <w:noProof/>
        </w:rPr>
        <w:t>Pearson, P. N., and Wade, B. S., 2009, Taxonomy and Stable Isotope Paleoecology of Well-Preserved Planktonic Foraminifera from the Uppermost Oligocene of Trinidad: Journal of Foraminiferal Research, v. 39, no. 3, p. 191-217.</w:t>
      </w:r>
    </w:p>
    <w:p w14:paraId="170B90EA" w14:textId="7777777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Pearson, P. N., and Palmer, M. R., 1999, Middle Eocene seawater pH and atmospheric carbon dioxide concentrations: Science, v. 284, no. 5421, p. 1824-1826.</w:t>
      </w:r>
    </w:p>
    <w:p w14:paraId="31C31D2D" w14:textId="7777777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Pearson, P. N., and Palmer, M. R., 2000, Atmospheric carbon dioxide concentrations over the past 60 million years: Nature, v. 406, no. 6797, p. 695-699.</w:t>
      </w:r>
    </w:p>
    <w:p w14:paraId="25431BB8" w14:textId="7777777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Pistiner, J. S., and Henderson, G. M., 2003, Lithium-isotope fractionation during continental weathering processes: Earth and Planetary Science Letters, v. 214, no. 1–2, p. 327-339.</w:t>
      </w:r>
    </w:p>
    <w:p w14:paraId="1A8B298E" w14:textId="7777777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Pogge von Strandmann, P. A. E., Burton, K. W., James, R. H., van Calsteren, P., Gislason, S. R., and Sigfússon, B., 2008, The influence of weathering processes on riverine magnesium isotopes in a basaltic terrain: Earth and Planetary Science Letters, v. 276, no. 1–2, p. 187-197.</w:t>
      </w:r>
    </w:p>
    <w:p w14:paraId="67C5D98A" w14:textId="7777777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Pogge von Strandmann, P. A. E., Forshaw, J., and Schmidt, D. N., 2014, Modern and Cenozoic records of seawater magnesium from foraminiferal Mg isotopes: Biogeosciences, v. 11, no. 18, p. 5155-5168.</w:t>
      </w:r>
    </w:p>
    <w:p w14:paraId="2C3782BD" w14:textId="36D95CDD"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Pogge von Strandmann, P. A. E., and Henderson, G. M., 2014, The Li isotope response to mountain uplift: Geology</w:t>
      </w:r>
      <w:r w:rsidR="007A700D" w:rsidRPr="00333322">
        <w:rPr>
          <w:rFonts w:ascii="Times New Roman" w:hAnsi="Times New Roman"/>
          <w:noProof/>
        </w:rPr>
        <w:t xml:space="preserve">, </w:t>
      </w:r>
      <w:r w:rsidR="007A700D" w:rsidRPr="00333322">
        <w:rPr>
          <w:rStyle w:val="slug-metadata-note"/>
          <w:rFonts w:ascii="Times New Roman" w:eastAsia="Times New Roman" w:hAnsi="Times New Roman"/>
        </w:rPr>
        <w:t xml:space="preserve">doi: </w:t>
      </w:r>
      <w:r w:rsidR="007A700D" w:rsidRPr="00333322">
        <w:rPr>
          <w:rStyle w:val="slug-doi"/>
          <w:rFonts w:ascii="Times New Roman" w:eastAsia="Times New Roman" w:hAnsi="Times New Roman"/>
        </w:rPr>
        <w:t>10.1130/G36162.1</w:t>
      </w:r>
      <w:r w:rsidRPr="00333322">
        <w:rPr>
          <w:rFonts w:ascii="Times New Roman" w:hAnsi="Times New Roman"/>
          <w:noProof/>
        </w:rPr>
        <w:t>.</w:t>
      </w:r>
    </w:p>
    <w:p w14:paraId="689F4CF2" w14:textId="7777777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Rae, J. W. B., Foster, G. L., Schmidt, D. N., and Elliott, T., 2011, Boron isotopes and B/Ca in benthic foraminifera: Proxies for the deep ocean carbonate system: Earth and Planetary Science Letters, v. 302, no. 3-4, p. 403-413.</w:t>
      </w:r>
    </w:p>
    <w:p w14:paraId="4257DA46" w14:textId="5349B92C"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 xml:space="preserve">Raitzsch, M., and </w:t>
      </w:r>
      <w:r w:rsidR="007957C0" w:rsidRPr="00333322">
        <w:rPr>
          <w:rFonts w:ascii="Times New Roman" w:hAnsi="Times New Roman"/>
          <w:noProof/>
        </w:rPr>
        <w:t>Hönisch</w:t>
      </w:r>
      <w:r w:rsidRPr="00333322">
        <w:rPr>
          <w:rFonts w:ascii="Times New Roman" w:hAnsi="Times New Roman"/>
          <w:noProof/>
        </w:rPr>
        <w:t>, B., 2013, Cenozoic boron isotope variations in benthic foraminifers: Geology, v. 41, no. 5, p. 591-594.</w:t>
      </w:r>
    </w:p>
    <w:p w14:paraId="3F5D7AA8" w14:textId="7777777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Ridgewell, A., 2005, A mid Mesozoic revolution in the regulation of ocean chemistry: Marine Geology, v. 217, no. 3-4, p. 339-357.</w:t>
      </w:r>
    </w:p>
    <w:p w14:paraId="05DDA519" w14:textId="5AFB643E" w:rsidR="00333322" w:rsidRPr="00333322" w:rsidRDefault="00333322" w:rsidP="00333322">
      <w:pPr>
        <w:spacing w:after="0" w:line="240" w:lineRule="auto"/>
        <w:ind w:left="720" w:hanging="720"/>
        <w:rPr>
          <w:rFonts w:ascii="Times New Roman" w:hAnsi="Times New Roman"/>
        </w:rPr>
      </w:pPr>
      <w:r w:rsidRPr="00333322">
        <w:rPr>
          <w:rFonts w:ascii="Times New Roman" w:hAnsi="Times New Roman"/>
        </w:rPr>
        <w:t>Ridgwell, A., Hargreaves, J. C., Edwards, N. R., Annan, J. D., Lenton, T. M., Marsh, R., Yool, A., and Watson, A., 2007, Marine geo-chemical data assimilation in an efficient Earth System Model of global biogeochemical cycling: Biogeosciences, 4, 87–104, doi:10.5194/bg-4-87-2007,  2007.</w:t>
      </w:r>
    </w:p>
    <w:p w14:paraId="003766F6" w14:textId="7777777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Rose, E. F., Chaussidon, M., and France-Lanord, C., 2000, Fractionation of boron isotopes during erosion processes: the example of Himalayan rivers: Geochimica et Cosmochimica Acta, v. 64, no. 3, p. 397-408.</w:t>
      </w:r>
    </w:p>
    <w:p w14:paraId="68759C5E" w14:textId="77777777" w:rsidR="00747895" w:rsidRDefault="00747895" w:rsidP="00747895">
      <w:pPr>
        <w:pStyle w:val="EndNoteBibliography"/>
        <w:ind w:left="720" w:hanging="720"/>
        <w:rPr>
          <w:rFonts w:ascii="Times New Roman" w:hAnsi="Times New Roman"/>
          <w:noProof/>
        </w:rPr>
      </w:pPr>
      <w:r w:rsidRPr="00333322">
        <w:rPr>
          <w:rFonts w:ascii="Times New Roman" w:hAnsi="Times New Roman"/>
          <w:noProof/>
        </w:rPr>
        <w:t>Rose-Koga, E. F., Sheppard, S. M. F., Chaussidon, M., and Carignan, J., 2006, Boron isotopic composition of atmospheric precipitations and liquid–vapour fractionations: Geochimica et Cosmochimica Acta, v. 70, no. 7, p. 1603-1615.</w:t>
      </w:r>
    </w:p>
    <w:p w14:paraId="42707DDF" w14:textId="6ED18253" w:rsidR="00FD7A2A" w:rsidRPr="00333322" w:rsidRDefault="00FD7A2A" w:rsidP="00747895">
      <w:pPr>
        <w:pStyle w:val="EndNoteBibliography"/>
        <w:ind w:left="720" w:hanging="720"/>
        <w:rPr>
          <w:rFonts w:ascii="Times New Roman" w:hAnsi="Times New Roman"/>
          <w:noProof/>
        </w:rPr>
      </w:pPr>
      <w:r>
        <w:rPr>
          <w:rFonts w:ascii="Times New Roman" w:hAnsi="Times New Roman"/>
          <w:noProof/>
        </w:rPr>
        <w:t xml:space="preserve">Sanyal, A., Hemming, N.G., Hanson, G.N., Broecker, W.S., 1995, </w:t>
      </w:r>
      <w:r w:rsidRPr="00FD7A2A">
        <w:rPr>
          <w:rFonts w:eastAsiaTheme="minorEastAsia" w:cs="Times"/>
          <w:bCs/>
          <w:lang w:eastAsia="ja-JP"/>
        </w:rPr>
        <w:t>Evidence for a higher pH in the glacial ocean from boron isotopes in foraminifera</w:t>
      </w:r>
      <w:r>
        <w:rPr>
          <w:rFonts w:eastAsiaTheme="minorEastAsia" w:cs="Times"/>
          <w:bCs/>
          <w:lang w:eastAsia="ja-JP"/>
        </w:rPr>
        <w:t>: Nature, 373, p. 243-236</w:t>
      </w:r>
    </w:p>
    <w:p w14:paraId="4E232B69" w14:textId="77777777" w:rsidR="00442EC4" w:rsidRPr="00333322" w:rsidRDefault="00442EC4" w:rsidP="00442EC4">
      <w:pPr>
        <w:pStyle w:val="EndNoteBibliography"/>
        <w:ind w:left="720" w:hanging="720"/>
        <w:rPr>
          <w:rFonts w:ascii="Times New Roman" w:hAnsi="Times New Roman"/>
          <w:noProof/>
        </w:rPr>
      </w:pPr>
      <w:r w:rsidRPr="00333322">
        <w:rPr>
          <w:rFonts w:ascii="Times New Roman" w:hAnsi="Times New Roman"/>
          <w:noProof/>
        </w:rPr>
        <w:t>Sanyal, A., Bijma, J., Spero, H., and Lea, D. W., 2001, Empirical relationship between pH and the boron isotopic composition of Globigerinoides sacculifer: Implications for the boron isotope paleo-pH proxy: Paleoceanography, v. 16, no. 5, p. 515-519.</w:t>
      </w:r>
    </w:p>
    <w:p w14:paraId="2CCC487E" w14:textId="7104B8E7" w:rsidR="00534E1C" w:rsidRPr="00333322" w:rsidRDefault="00534E1C" w:rsidP="00534E1C">
      <w:pPr>
        <w:spacing w:after="0" w:line="240" w:lineRule="auto"/>
        <w:rPr>
          <w:rFonts w:ascii="Times New Roman" w:hAnsi="Times New Roman"/>
        </w:rPr>
      </w:pPr>
      <w:r w:rsidRPr="00333322">
        <w:rPr>
          <w:rFonts w:ascii="Times New Roman" w:hAnsi="Times New Roman"/>
        </w:rPr>
        <w:t xml:space="preserve">Schlitzer, R., Ocean Data View, </w:t>
      </w:r>
      <w:r w:rsidR="000B37FD" w:rsidRPr="00333322">
        <w:rPr>
          <w:rFonts w:ascii="Times New Roman" w:hAnsi="Times New Roman"/>
        </w:rPr>
        <w:t>201</w:t>
      </w:r>
      <w:r w:rsidR="000B37FD">
        <w:rPr>
          <w:rFonts w:ascii="Times New Roman" w:hAnsi="Times New Roman"/>
        </w:rPr>
        <w:t>6</w:t>
      </w:r>
      <w:r w:rsidRPr="00333322">
        <w:rPr>
          <w:rFonts w:ascii="Times New Roman" w:hAnsi="Times New Roman"/>
        </w:rPr>
        <w:t>, http://www.awi-bremerhaven.de/GEO/ODV.</w:t>
      </w:r>
    </w:p>
    <w:p w14:paraId="1E685C4C" w14:textId="77777777" w:rsidR="00442EC4" w:rsidRPr="00333322" w:rsidRDefault="00442EC4" w:rsidP="00442EC4">
      <w:pPr>
        <w:pStyle w:val="EndNoteBibliography"/>
        <w:ind w:left="720" w:hanging="720"/>
        <w:rPr>
          <w:rFonts w:ascii="Times New Roman" w:hAnsi="Times New Roman"/>
          <w:noProof/>
        </w:rPr>
      </w:pPr>
      <w:r w:rsidRPr="00333322">
        <w:rPr>
          <w:rFonts w:ascii="Times New Roman" w:hAnsi="Times New Roman"/>
          <w:noProof/>
        </w:rPr>
        <w:t xml:space="preserve">Seki, O., Foster, G. L., Schmidt, D. N., Mackensen, A., Kawamura, K., and Pancost, R. D., 2010, Alkenone and boron-based Pliocene </w:t>
      </w:r>
      <w:r w:rsidRPr="00333322">
        <w:rPr>
          <w:rFonts w:ascii="Times New Roman" w:hAnsi="Times New Roman"/>
          <w:i/>
          <w:noProof/>
        </w:rPr>
        <w:t>p</w:t>
      </w:r>
      <w:r w:rsidRPr="00333322">
        <w:rPr>
          <w:rFonts w:ascii="Times New Roman" w:hAnsi="Times New Roman"/>
          <w:noProof/>
        </w:rPr>
        <w:t>CO</w:t>
      </w:r>
      <w:r w:rsidRPr="00333322">
        <w:rPr>
          <w:rFonts w:ascii="Times New Roman" w:hAnsi="Times New Roman"/>
          <w:noProof/>
          <w:vertAlign w:val="subscript"/>
        </w:rPr>
        <w:t>2</w:t>
      </w:r>
      <w:r w:rsidRPr="00333322">
        <w:rPr>
          <w:rFonts w:ascii="Times New Roman" w:hAnsi="Times New Roman"/>
          <w:noProof/>
        </w:rPr>
        <w:t xml:space="preserve"> records: Earth and Planetary Science Letters, v. 292, no. 1-2, p. 201-211.</w:t>
      </w:r>
    </w:p>
    <w:p w14:paraId="02FCBA6A" w14:textId="2CCCECFD" w:rsidR="00747895" w:rsidRPr="00333322" w:rsidRDefault="00747895" w:rsidP="00747895">
      <w:pPr>
        <w:pStyle w:val="EndNoteBibliography"/>
        <w:ind w:left="720" w:hanging="720"/>
        <w:rPr>
          <w:rFonts w:ascii="Times New Roman" w:hAnsi="Times New Roman"/>
          <w:noProof/>
        </w:rPr>
      </w:pPr>
      <w:r w:rsidRPr="00333322">
        <w:rPr>
          <w:rFonts w:ascii="Times New Roman" w:eastAsia="Times New Roman" w:hAnsi="Times New Roman"/>
        </w:rPr>
        <w:t xml:space="preserve">Shipboard Scientific Party, 1989. Site 758. </w:t>
      </w:r>
      <w:r w:rsidRPr="00333322">
        <w:rPr>
          <w:rFonts w:ascii="Times New Roman" w:eastAsia="Times New Roman" w:hAnsi="Times New Roman"/>
          <w:i/>
          <w:iCs/>
        </w:rPr>
        <w:t>In</w:t>
      </w:r>
      <w:r w:rsidRPr="00333322">
        <w:rPr>
          <w:rFonts w:ascii="Times New Roman" w:eastAsia="Times New Roman" w:hAnsi="Times New Roman"/>
        </w:rPr>
        <w:t xml:space="preserve"> Peirce, J., Weissel, J., et al., </w:t>
      </w:r>
      <w:r w:rsidRPr="00333322">
        <w:rPr>
          <w:rFonts w:ascii="Times New Roman" w:eastAsia="Times New Roman" w:hAnsi="Times New Roman"/>
          <w:i/>
          <w:iCs/>
        </w:rPr>
        <w:t>Proc. ODP, Init. Repts.,</w:t>
      </w:r>
      <w:r w:rsidRPr="00333322">
        <w:rPr>
          <w:rFonts w:ascii="Times New Roman" w:eastAsia="Times New Roman" w:hAnsi="Times New Roman"/>
        </w:rPr>
        <w:t xml:space="preserve"> 121: College Station, TX (Ocean Drilling Program), 359–453. </w:t>
      </w:r>
      <w:r w:rsidRPr="0065356E">
        <w:rPr>
          <w:rFonts w:ascii="Times New Roman" w:hAnsi="Times New Roman"/>
          <w:lang w:val="en-GB"/>
        </w:rPr>
        <w:t>doi:10.2973/odp.proc.ir.121.112.1989</w:t>
      </w:r>
    </w:p>
    <w:p w14:paraId="34882477" w14:textId="1034FFDB" w:rsidR="00747895" w:rsidRPr="00333322" w:rsidRDefault="00747895" w:rsidP="00747895">
      <w:pPr>
        <w:pStyle w:val="EndNoteBibliography"/>
        <w:ind w:left="720" w:hanging="720"/>
        <w:rPr>
          <w:rFonts w:ascii="Times New Roman" w:eastAsia="Times New Roman" w:hAnsi="Times New Roman"/>
        </w:rPr>
      </w:pPr>
      <w:r w:rsidRPr="00333322">
        <w:rPr>
          <w:rFonts w:ascii="Times New Roman" w:eastAsia="Times New Roman" w:hAnsi="Times New Roman"/>
        </w:rPr>
        <w:t xml:space="preserve">Shipboard Scientific Party, 1995. Site 926. </w:t>
      </w:r>
      <w:r w:rsidRPr="00333322">
        <w:rPr>
          <w:rFonts w:ascii="Times New Roman" w:eastAsia="Times New Roman" w:hAnsi="Times New Roman"/>
          <w:i/>
          <w:iCs/>
        </w:rPr>
        <w:t>In</w:t>
      </w:r>
      <w:r w:rsidRPr="00333322">
        <w:rPr>
          <w:rFonts w:ascii="Times New Roman" w:eastAsia="Times New Roman" w:hAnsi="Times New Roman"/>
        </w:rPr>
        <w:t xml:space="preserve"> Curry, W.B., Shackleton, N.J., Richter, C., et al., </w:t>
      </w:r>
      <w:r w:rsidRPr="00333322">
        <w:rPr>
          <w:rFonts w:ascii="Times New Roman" w:eastAsia="Times New Roman" w:hAnsi="Times New Roman"/>
          <w:i/>
          <w:iCs/>
        </w:rPr>
        <w:t>Proc. ODP, Init. Repts.,</w:t>
      </w:r>
      <w:r w:rsidRPr="00333322">
        <w:rPr>
          <w:rFonts w:ascii="Times New Roman" w:eastAsia="Times New Roman" w:hAnsi="Times New Roman"/>
        </w:rPr>
        <w:t xml:space="preserve"> 154: College Station, TX (Ocean Drilling Program), 153–232. </w:t>
      </w:r>
      <w:r w:rsidRPr="0065356E">
        <w:rPr>
          <w:rFonts w:ascii="Times New Roman" w:hAnsi="Times New Roman"/>
          <w:lang w:val="en-GB"/>
        </w:rPr>
        <w:t>doi:10.2973/odp.proc.ir.154.105.1995</w:t>
      </w:r>
    </w:p>
    <w:p w14:paraId="65EBA64C" w14:textId="3388409C" w:rsidR="00747895" w:rsidRDefault="00747895" w:rsidP="0060107E">
      <w:pPr>
        <w:pStyle w:val="EndNoteBibliography"/>
        <w:ind w:left="567" w:hanging="567"/>
      </w:pPr>
      <w:r w:rsidRPr="00333322">
        <w:t xml:space="preserve">Shipboard Scientific Party, 1997. Site 999. </w:t>
      </w:r>
      <w:r w:rsidRPr="00333322">
        <w:rPr>
          <w:i/>
          <w:iCs/>
        </w:rPr>
        <w:t>In</w:t>
      </w:r>
      <w:r w:rsidRPr="00333322">
        <w:t xml:space="preserve"> Sigurdsson, H., Leckie, R.M., Acton, G.D., et al., </w:t>
      </w:r>
      <w:r w:rsidRPr="00333322">
        <w:rPr>
          <w:i/>
          <w:iCs/>
        </w:rPr>
        <w:t>Proc. ODP, Init. Repts.,</w:t>
      </w:r>
      <w:r w:rsidRPr="00333322">
        <w:t xml:space="preserve"> 165: College Station, TX (Ocean Drilling Program), 131–230. doi:10.2973/odp.proc.ir.165.104.1997</w:t>
      </w:r>
      <w:r w:rsidR="0065356E">
        <w:t>.</w:t>
      </w:r>
    </w:p>
    <w:p w14:paraId="756EB7A6" w14:textId="23935596" w:rsidR="0065356E" w:rsidRPr="00333322" w:rsidRDefault="0065356E" w:rsidP="0065356E">
      <w:pPr>
        <w:pStyle w:val="EndNoteBibliography"/>
        <w:ind w:left="567" w:hanging="567"/>
      </w:pPr>
      <w:r w:rsidRPr="0065356E">
        <w:t>Sigman, D.M., McCorkle, D.C., Martin, W.R., 1998, The calcite lysocline as a constraint on glacial/interglacial low-latitude production changes: Global Biogeo</w:t>
      </w:r>
      <w:r w:rsidR="00AE2D1B">
        <w:t>chem</w:t>
      </w:r>
      <w:r w:rsidRPr="0065356E">
        <w:t>. Cycles, v.</w:t>
      </w:r>
      <w:r w:rsidR="00AE2D1B">
        <w:t xml:space="preserve"> </w:t>
      </w:r>
      <w:r w:rsidRPr="0065356E">
        <w:t>12, no.</w:t>
      </w:r>
      <w:r w:rsidR="00AE2D1B">
        <w:t xml:space="preserve"> </w:t>
      </w:r>
      <w:r w:rsidRPr="0065356E">
        <w:t xml:space="preserve">3, p. 409-427. </w:t>
      </w:r>
    </w:p>
    <w:p w14:paraId="1C57A3E1" w14:textId="37A7532F" w:rsidR="00747895" w:rsidRPr="00333322" w:rsidRDefault="00747895" w:rsidP="00747895">
      <w:pPr>
        <w:pStyle w:val="EndNoteBibliography"/>
        <w:ind w:left="709" w:hanging="709"/>
        <w:rPr>
          <w:rFonts w:ascii="Times New Roman" w:hAnsi="Times New Roman"/>
          <w:noProof/>
        </w:rPr>
      </w:pPr>
      <w:r w:rsidRPr="00333322">
        <w:rPr>
          <w:rFonts w:ascii="Times New Roman" w:hAnsi="Times New Roman"/>
          <w:noProof/>
        </w:rPr>
        <w:t xml:space="preserve">Simon, L., Lecuyer, C., Marechal, C., and Coltice, N., 2006, Modelling the geochemical cycle of boron: Implications for the long-term </w:t>
      </w:r>
      <w:r w:rsidR="0065356E" w:rsidRPr="0065356E">
        <w:rPr>
          <w:rFonts w:ascii="Times New Roman" w:hAnsi="Times New Roman"/>
          <w:noProof/>
          <w:color w:val="000000"/>
          <w:szCs w:val="18"/>
        </w:rPr>
        <w:t>δ</w:t>
      </w:r>
      <w:r w:rsidR="0065356E" w:rsidRPr="0065356E">
        <w:rPr>
          <w:rFonts w:ascii="Times New Roman" w:hAnsi="Times New Roman"/>
          <w:noProof/>
          <w:color w:val="000000"/>
          <w:szCs w:val="12"/>
          <w:vertAlign w:val="superscript"/>
        </w:rPr>
        <w:t>11</w:t>
      </w:r>
      <w:r w:rsidR="0065356E" w:rsidRPr="0065356E">
        <w:rPr>
          <w:rFonts w:ascii="Times New Roman" w:hAnsi="Times New Roman"/>
          <w:noProof/>
          <w:color w:val="000000"/>
          <w:szCs w:val="18"/>
        </w:rPr>
        <w:t>B</w:t>
      </w:r>
      <w:r w:rsidR="0065356E">
        <w:rPr>
          <w:rFonts w:ascii="Times New Roman" w:hAnsi="Times New Roman"/>
          <w:noProof/>
        </w:rPr>
        <w:t xml:space="preserve"> </w:t>
      </w:r>
      <w:r w:rsidRPr="00333322">
        <w:rPr>
          <w:rFonts w:ascii="Times New Roman" w:hAnsi="Times New Roman"/>
          <w:noProof/>
        </w:rPr>
        <w:t>evolution of seawater and oceanic crust: Chemical Geology, v. 225, no. 1-2, p. 61-76.</w:t>
      </w:r>
    </w:p>
    <w:p w14:paraId="6936A249" w14:textId="7777777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Smith, H. J., Spivack, A. J., Staudigel, H., and Hart, S. R., 1995, The boron isotopic composition of altered oceanic crust: Chemical Geology, v. 126, no. 2, p. 119-135.</w:t>
      </w:r>
    </w:p>
    <w:p w14:paraId="4FCBEEF3" w14:textId="53F98AA3"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Spero, H., Mielke, K., Kalve, E., Lea, D., and Pak, D., 2003, Multispecies approach to reconstructing eastern equatorial Pacific thermocline hydrography during the past 360 kyr: Paleoceanography, v. 18, no. 1</w:t>
      </w:r>
      <w:r w:rsidR="007A700D" w:rsidRPr="00333322">
        <w:rPr>
          <w:rFonts w:ascii="Times New Roman" w:hAnsi="Times New Roman"/>
          <w:noProof/>
        </w:rPr>
        <w:t xml:space="preserve">, </w:t>
      </w:r>
      <w:r w:rsidR="007A700D" w:rsidRPr="00333322">
        <w:rPr>
          <w:rStyle w:val="Emphasis"/>
          <w:rFonts w:ascii="Times New Roman" w:eastAsia="Times New Roman" w:hAnsi="Times New Roman"/>
          <w:i w:val="0"/>
        </w:rPr>
        <w:t>doi</w:t>
      </w:r>
      <w:r w:rsidR="007A700D" w:rsidRPr="00333322">
        <w:rPr>
          <w:rStyle w:val="st"/>
          <w:rFonts w:ascii="Times New Roman" w:eastAsia="Times New Roman" w:hAnsi="Times New Roman"/>
        </w:rPr>
        <w:t>:10.1029/2001GC000200</w:t>
      </w:r>
      <w:r w:rsidRPr="00333322">
        <w:rPr>
          <w:rFonts w:ascii="Times New Roman" w:hAnsi="Times New Roman"/>
          <w:noProof/>
        </w:rPr>
        <w:t>.</w:t>
      </w:r>
    </w:p>
    <w:p w14:paraId="07C1EE2C" w14:textId="4CAD097F" w:rsidR="006A4705" w:rsidRPr="00333322" w:rsidRDefault="006A4705" w:rsidP="006A4705">
      <w:pPr>
        <w:spacing w:after="0" w:line="240" w:lineRule="auto"/>
        <w:ind w:left="567" w:hanging="567"/>
        <w:rPr>
          <w:rFonts w:ascii="Times New Roman" w:hAnsi="Times New Roman"/>
        </w:rPr>
      </w:pPr>
      <w:r w:rsidRPr="00333322">
        <w:rPr>
          <w:rFonts w:ascii="Times New Roman" w:hAnsi="Times New Roman"/>
        </w:rPr>
        <w:t>Spezzaferri S, Kucera M, Pearson PN, Wade BS, Rappo S, Poole CR, et al., 2015, Fossil and genetic evidence for the polyphyletic nature of the planktonic foraminifera "</w:t>
      </w:r>
      <w:r w:rsidRPr="00333322">
        <w:rPr>
          <w:rFonts w:ascii="Times New Roman" w:hAnsi="Times New Roman"/>
          <w:i/>
        </w:rPr>
        <w:t>Globigerinoides</w:t>
      </w:r>
      <w:r w:rsidRPr="00333322">
        <w:rPr>
          <w:rFonts w:ascii="Times New Roman" w:hAnsi="Times New Roman"/>
        </w:rPr>
        <w:t xml:space="preserve">", and description of the new Genus </w:t>
      </w:r>
      <w:r w:rsidRPr="00333322">
        <w:rPr>
          <w:rFonts w:ascii="Times New Roman" w:hAnsi="Times New Roman"/>
          <w:i/>
        </w:rPr>
        <w:t>Trilobatus</w:t>
      </w:r>
      <w:r w:rsidRPr="00333322">
        <w:rPr>
          <w:rFonts w:ascii="Times New Roman" w:hAnsi="Times New Roman"/>
        </w:rPr>
        <w:t>: PLoS ONE, v.10, no. 5, DOI:e0128108. doi:10.1371/journal.pone.0128108</w:t>
      </w:r>
    </w:p>
    <w:p w14:paraId="5D9AAF07" w14:textId="77777777" w:rsidR="00747895" w:rsidRDefault="00747895" w:rsidP="00747895">
      <w:pPr>
        <w:pStyle w:val="EndNoteBibliography"/>
        <w:ind w:left="720" w:hanging="720"/>
        <w:rPr>
          <w:rFonts w:ascii="Times New Roman" w:hAnsi="Times New Roman"/>
          <w:noProof/>
        </w:rPr>
      </w:pPr>
      <w:r w:rsidRPr="00333322">
        <w:rPr>
          <w:rFonts w:ascii="Times New Roman" w:hAnsi="Times New Roman"/>
          <w:noProof/>
        </w:rPr>
        <w:t>Spivack, A. J., and Edmond, J. M., 1987, Boron isotope exchange between seawater and the oceanic crust: Geochimica et Cosmochimica Acta, v. 51, no. 5, p. 1033-1043.</w:t>
      </w:r>
    </w:p>
    <w:p w14:paraId="5DD0EAA2" w14:textId="455D44BC" w:rsidR="00AB3129" w:rsidRPr="00AB3129" w:rsidRDefault="00AB3129" w:rsidP="00747895">
      <w:pPr>
        <w:pStyle w:val="EndNoteBibliography"/>
        <w:ind w:left="720" w:hanging="720"/>
        <w:rPr>
          <w:rFonts w:ascii="Times New Roman" w:hAnsi="Times New Roman"/>
          <w:noProof/>
        </w:rPr>
      </w:pPr>
      <w:r>
        <w:rPr>
          <w:rFonts w:ascii="Times New Roman" w:hAnsi="Times New Roman"/>
          <w:noProof/>
        </w:rPr>
        <w:t>Takahashi, T., Sutherland S.C., Wanninkhof, R., Sweeney, C., Feely, R.A., et al., 2009, Climatological mean and decadal change in surface ocean pCO</w:t>
      </w:r>
      <w:r>
        <w:rPr>
          <w:rFonts w:ascii="Times New Roman" w:hAnsi="Times New Roman"/>
          <w:noProof/>
          <w:vertAlign w:val="subscript"/>
        </w:rPr>
        <w:t>2</w:t>
      </w:r>
      <w:r>
        <w:rPr>
          <w:rFonts w:ascii="Times New Roman" w:hAnsi="Times New Roman"/>
          <w:noProof/>
        </w:rPr>
        <w:t>, and net sea-air CO</w:t>
      </w:r>
      <w:r>
        <w:rPr>
          <w:rFonts w:ascii="Times New Roman" w:hAnsi="Times New Roman"/>
          <w:noProof/>
          <w:vertAlign w:val="subscript"/>
        </w:rPr>
        <w:t>2</w:t>
      </w:r>
      <w:r>
        <w:rPr>
          <w:rFonts w:ascii="Times New Roman" w:hAnsi="Times New Roman"/>
          <w:noProof/>
        </w:rPr>
        <w:t xml:space="preserve"> flux over global oceans: Deep-Sea Research II, v.56, p.554-557.</w:t>
      </w:r>
    </w:p>
    <w:p w14:paraId="41659C9C" w14:textId="7777777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Tipper, E. T., Galy, A., and Bickle, M. J., 2006a, Riverine evidence for a fractionated reservoir of Ca and Mg on the continents: Implications for the oceanic Ca cycle: Earth and Planetary Science Letters, v. 247, no. 3–4, p. 267-279.</w:t>
      </w:r>
    </w:p>
    <w:p w14:paraId="7235F02D" w14:textId="7777777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Tipper, E. T., Galy, A., Gaillardet, J., Bickle, M. J., Elderfield, H., and Carder, E. A., 2006b, The magnesium isotope budget of the modern ocean: Constraints from riverine magnesium isotope ratios: Earth and Planetary Science Letters, v. 250, no. 1–2, p. 241-253.</w:t>
      </w:r>
    </w:p>
    <w:p w14:paraId="1A4BD095" w14:textId="7777777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Tomascak, P. B., 2004, Developments in the Understanding and Application of Lithium Isotopes in the Earth and Planetary Sciences: Reviews in Mineralogy and Geochemistry, v. 55, no. 1, p. 153-195.</w:t>
      </w:r>
    </w:p>
    <w:p w14:paraId="698D9CB3" w14:textId="7777777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Tyrrell, T., and Zeebe, R. E., 2004, History of carbonate ion concentration over the last 100 million years: Geochimica Et Cosmochimica Acta, v. 68, no. 17, p. 3521-3530.</w:t>
      </w:r>
    </w:p>
    <w:p w14:paraId="78C15E2F" w14:textId="77777777" w:rsidR="00747895" w:rsidRDefault="00747895" w:rsidP="00747895">
      <w:pPr>
        <w:pStyle w:val="EndNoteBibliography"/>
        <w:ind w:left="720" w:hanging="720"/>
        <w:rPr>
          <w:rFonts w:ascii="Times New Roman" w:hAnsi="Times New Roman"/>
          <w:noProof/>
        </w:rPr>
      </w:pPr>
      <w:r w:rsidRPr="00333322">
        <w:rPr>
          <w:rFonts w:ascii="Times New Roman" w:hAnsi="Times New Roman"/>
          <w:noProof/>
        </w:rPr>
        <w:t>Vengosh, A., Starinsky, A., Kolodny, Y., Chivas, A. R., and Raab, M., 1992, Boron Isotope Variations during Fractional Evaporation of Sea-Water - New Constraints on the Marine Vs Nonmarine Debate: Geology, v. 20, no. 9, p. 799-802.</w:t>
      </w:r>
    </w:p>
    <w:p w14:paraId="28561098" w14:textId="72955885" w:rsidR="004D6322" w:rsidRDefault="004D6322" w:rsidP="00747895">
      <w:pPr>
        <w:pStyle w:val="EndNoteBibliography"/>
        <w:ind w:left="720" w:hanging="720"/>
        <w:rPr>
          <w:rFonts w:ascii="Times New Roman" w:hAnsi="Times New Roman"/>
          <w:noProof/>
        </w:rPr>
      </w:pPr>
      <w:r>
        <w:rPr>
          <w:rFonts w:ascii="Times New Roman" w:hAnsi="Times New Roman"/>
          <w:noProof/>
        </w:rPr>
        <w:t>Vigier, N., Goddéris, Y., 2015, A new approach for modeling Cenozoic oceanic lithium isotope paleo-variations: the key role of climate</w:t>
      </w:r>
      <w:r w:rsidR="00E82611">
        <w:rPr>
          <w:rFonts w:ascii="Times New Roman" w:hAnsi="Times New Roman"/>
          <w:noProof/>
        </w:rPr>
        <w:t>: Climate of the Past,</w:t>
      </w:r>
      <w:r>
        <w:rPr>
          <w:rFonts w:ascii="Times New Roman" w:hAnsi="Times New Roman"/>
          <w:noProof/>
        </w:rPr>
        <w:t xml:space="preserve"> v.11, p.635-645.</w:t>
      </w:r>
    </w:p>
    <w:p w14:paraId="57F95411" w14:textId="04882E44" w:rsidR="004D6322" w:rsidRPr="004D6322" w:rsidRDefault="004D6322" w:rsidP="00747895">
      <w:pPr>
        <w:pStyle w:val="EndNoteBibliography"/>
        <w:ind w:left="720" w:hanging="720"/>
        <w:rPr>
          <w:rFonts w:ascii="Times New Roman" w:hAnsi="Times New Roman"/>
          <w:noProof/>
        </w:rPr>
      </w:pPr>
      <w:r>
        <w:rPr>
          <w:rFonts w:ascii="Times New Roman" w:hAnsi="Times New Roman"/>
          <w:noProof/>
        </w:rPr>
        <w:t>Wanner, C., Sonnenthal, E. L., and Liu, X.-M., 2014, Seawater δ</w:t>
      </w:r>
      <w:r>
        <w:rPr>
          <w:rFonts w:ascii="Times New Roman" w:hAnsi="Times New Roman"/>
          <w:noProof/>
          <w:vertAlign w:val="superscript"/>
        </w:rPr>
        <w:t>7</w:t>
      </w:r>
      <w:r>
        <w:rPr>
          <w:rFonts w:ascii="Times New Roman" w:hAnsi="Times New Roman"/>
          <w:noProof/>
        </w:rPr>
        <w:t>Li: a direct proxy for global CO</w:t>
      </w:r>
      <w:r>
        <w:rPr>
          <w:rFonts w:ascii="Times New Roman" w:hAnsi="Times New Roman"/>
          <w:noProof/>
          <w:vertAlign w:val="subscript"/>
        </w:rPr>
        <w:t xml:space="preserve">2 </w:t>
      </w:r>
      <w:r w:rsidRPr="004D6322">
        <w:rPr>
          <w:rFonts w:ascii="Times New Roman" w:hAnsi="Times New Roman"/>
          <w:noProof/>
        </w:rPr>
        <w:t>consumption by continental</w:t>
      </w:r>
      <w:r>
        <w:rPr>
          <w:rFonts w:ascii="Times New Roman" w:hAnsi="Times New Roman"/>
          <w:noProof/>
        </w:rPr>
        <w:t xml:space="preserve"> silicate</w:t>
      </w:r>
      <w:r w:rsidR="00E82611">
        <w:rPr>
          <w:rFonts w:ascii="Times New Roman" w:hAnsi="Times New Roman"/>
          <w:noProof/>
        </w:rPr>
        <w:t xml:space="preserve"> weathering?:</w:t>
      </w:r>
      <w:r>
        <w:rPr>
          <w:rFonts w:ascii="Times New Roman" w:hAnsi="Times New Roman"/>
          <w:noProof/>
        </w:rPr>
        <w:t xml:space="preserve"> Chem. Geol., 154-167.</w:t>
      </w:r>
    </w:p>
    <w:p w14:paraId="2D472524" w14:textId="7777777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Wimpenny, J., Colla, C. A., Yin, Q.-Z., Rustad, J. R., and Casey, W. H., 2014, Investigating the behaviour of Mg isotopes during the formation of clay minerals: Geochimica et Cosmochimica Acta, v. 128, no. 0, p. 178-194.</w:t>
      </w:r>
    </w:p>
    <w:p w14:paraId="1D68977E" w14:textId="7777777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Wombacher, F., Eisenhauer, A., Böhm, F., Gussone, N., Regenberg, M., Dullo, W. C., and Rüggeberg, A., 2011, Magnesium stable isotope fractionation in marine biogenic calcite and aragonite: Geochimica et Cosmochimica Acta, v. 75, no. 19, p. 5797-5818.</w:t>
      </w:r>
    </w:p>
    <w:p w14:paraId="50888634" w14:textId="7777777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You, C.F., Spivack, A. J., Smith, J. H., and Gieskes, J. M., 1993, Mobilization of boron in convergent margins: Implications for the boron geochemical cycle: Geology, v. 21, no. 3, p. 207-210.</w:t>
      </w:r>
    </w:p>
    <w:p w14:paraId="022B2118" w14:textId="7777777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Zeebe, R. E., and Wolf-Gladrow, D. A., 2001, CO</w:t>
      </w:r>
      <w:r w:rsidRPr="00333322">
        <w:rPr>
          <w:rFonts w:ascii="Times New Roman" w:hAnsi="Times New Roman"/>
          <w:noProof/>
          <w:vertAlign w:val="subscript"/>
        </w:rPr>
        <w:t>2</w:t>
      </w:r>
      <w:r w:rsidRPr="00333322">
        <w:rPr>
          <w:rFonts w:ascii="Times New Roman" w:hAnsi="Times New Roman"/>
          <w:noProof/>
        </w:rPr>
        <w:t xml:space="preserve"> in seawater, equilibrium, kinetics, isotopes IN Elsevier oceanography series, Amsterdam, PAYS-BAS, Elsevier, XIII, 346 p. p.:</w:t>
      </w:r>
    </w:p>
    <w:p w14:paraId="4BA13843" w14:textId="77777777" w:rsidR="00747895" w:rsidRPr="00333322" w:rsidRDefault="00747895" w:rsidP="00747895">
      <w:pPr>
        <w:pStyle w:val="EndNoteBibliography"/>
        <w:ind w:left="720" w:hanging="720"/>
        <w:rPr>
          <w:rFonts w:ascii="Times New Roman" w:hAnsi="Times New Roman"/>
          <w:noProof/>
        </w:rPr>
      </w:pPr>
      <w:r w:rsidRPr="00333322">
        <w:rPr>
          <w:rFonts w:ascii="Times New Roman" w:hAnsi="Times New Roman"/>
          <w:noProof/>
        </w:rPr>
        <w:t>Zeeden, C., Hilgen, F., Westerhold, T., Lourens, L., Röhl, U., and Bickert, T., 2013, Revised Miocene splice, astronomical tuning and calcareous plankton biochronology of ODP Site 926 between 5 and 14.4 Ma: Palaeogeography, Palaeoclimatology, Palaeoecology, v. 369, no. 0, p. 430-451.</w:t>
      </w:r>
    </w:p>
    <w:p w14:paraId="02F83212" w14:textId="77777777" w:rsidR="00747895" w:rsidRDefault="00747895" w:rsidP="00747895"/>
    <w:p w14:paraId="625C11FA" w14:textId="77777777" w:rsidR="00961950" w:rsidRPr="00807097" w:rsidRDefault="00961950" w:rsidP="00961950"/>
    <w:p w14:paraId="06A58AD9" w14:textId="17CC640E" w:rsidR="00747895" w:rsidRPr="00747895" w:rsidRDefault="00747895" w:rsidP="00961950">
      <w:pPr>
        <w:pStyle w:val="Caption"/>
        <w:spacing w:line="360" w:lineRule="auto"/>
        <w:rPr>
          <w:rFonts w:ascii="Times New Roman" w:hAnsi="Times New Roman"/>
          <w:sz w:val="24"/>
          <w:szCs w:val="24"/>
        </w:rPr>
      </w:pPr>
      <w:bookmarkStart w:id="16" w:name="_Toc280369813"/>
      <w:r>
        <w:rPr>
          <w:rFonts w:ascii="Times New Roman" w:hAnsi="Times New Roman"/>
          <w:b/>
          <w:sz w:val="24"/>
          <w:szCs w:val="24"/>
        </w:rPr>
        <w:t>Figure Captions:</w:t>
      </w:r>
    </w:p>
    <w:p w14:paraId="012A8B13" w14:textId="39E6A16B" w:rsidR="00961950" w:rsidRPr="00961950" w:rsidRDefault="00961950" w:rsidP="00961950">
      <w:pPr>
        <w:pStyle w:val="Caption"/>
        <w:spacing w:line="360" w:lineRule="auto"/>
        <w:rPr>
          <w:rFonts w:ascii="Times New Roman" w:hAnsi="Times New Roman"/>
          <w:sz w:val="24"/>
          <w:szCs w:val="24"/>
        </w:rPr>
      </w:pPr>
      <w:r w:rsidRPr="00961950">
        <w:rPr>
          <w:rFonts w:ascii="Times New Roman" w:hAnsi="Times New Roman"/>
          <w:sz w:val="24"/>
          <w:szCs w:val="24"/>
        </w:rPr>
        <w:t xml:space="preserve">Figure 1: The oceanic boron cycle. Fluxes are from </w:t>
      </w:r>
      <w:r w:rsidR="001E2047">
        <w:rPr>
          <w:rFonts w:ascii="Times New Roman" w:hAnsi="Times New Roman"/>
          <w:noProof/>
          <w:sz w:val="24"/>
          <w:szCs w:val="24"/>
        </w:rPr>
        <w:t>Lemarchand et al.</w:t>
      </w:r>
      <w:r w:rsidR="00747895">
        <w:rPr>
          <w:rFonts w:ascii="Times New Roman" w:hAnsi="Times New Roman"/>
          <w:noProof/>
          <w:sz w:val="24"/>
          <w:szCs w:val="24"/>
        </w:rPr>
        <w:t xml:space="preserve"> </w:t>
      </w:r>
      <w:r w:rsidR="001E2047">
        <w:rPr>
          <w:rFonts w:ascii="Times New Roman" w:hAnsi="Times New Roman"/>
          <w:noProof/>
          <w:sz w:val="24"/>
          <w:szCs w:val="24"/>
        </w:rPr>
        <w:t>(</w:t>
      </w:r>
      <w:r w:rsidR="00747895">
        <w:rPr>
          <w:rFonts w:ascii="Times New Roman" w:hAnsi="Times New Roman"/>
          <w:noProof/>
          <w:sz w:val="24"/>
          <w:szCs w:val="24"/>
        </w:rPr>
        <w:t>200</w:t>
      </w:r>
      <w:r w:rsidR="00102A50">
        <w:rPr>
          <w:rFonts w:ascii="Times New Roman" w:hAnsi="Times New Roman"/>
          <w:noProof/>
          <w:sz w:val="24"/>
          <w:szCs w:val="24"/>
        </w:rPr>
        <w:t>0</w:t>
      </w:r>
      <w:r w:rsidRPr="00961950">
        <w:rPr>
          <w:rFonts w:ascii="Times New Roman" w:hAnsi="Times New Roman"/>
          <w:noProof/>
          <w:sz w:val="24"/>
          <w:szCs w:val="24"/>
        </w:rPr>
        <w:t>)</w:t>
      </w:r>
      <w:r w:rsidRPr="00961950">
        <w:rPr>
          <w:rFonts w:ascii="Times New Roman" w:hAnsi="Times New Roman"/>
          <w:sz w:val="24"/>
          <w:szCs w:val="24"/>
        </w:rPr>
        <w:t xml:space="preserve"> and </w:t>
      </w:r>
      <w:r w:rsidR="001E2047">
        <w:rPr>
          <w:rFonts w:ascii="Times New Roman" w:hAnsi="Times New Roman"/>
          <w:noProof/>
          <w:sz w:val="24"/>
          <w:szCs w:val="24"/>
        </w:rPr>
        <w:t>Park and Schlesinger</w:t>
      </w:r>
      <w:r w:rsidRPr="00961950">
        <w:rPr>
          <w:rFonts w:ascii="Times New Roman" w:hAnsi="Times New Roman"/>
          <w:noProof/>
          <w:sz w:val="24"/>
          <w:szCs w:val="24"/>
        </w:rPr>
        <w:t xml:space="preserve"> </w:t>
      </w:r>
      <w:r w:rsidR="001E2047">
        <w:rPr>
          <w:rFonts w:ascii="Times New Roman" w:hAnsi="Times New Roman"/>
          <w:noProof/>
          <w:sz w:val="24"/>
          <w:szCs w:val="24"/>
        </w:rPr>
        <w:t>(</w:t>
      </w:r>
      <w:r w:rsidRPr="00961950">
        <w:rPr>
          <w:rFonts w:ascii="Times New Roman" w:hAnsi="Times New Roman"/>
          <w:noProof/>
          <w:sz w:val="24"/>
          <w:szCs w:val="24"/>
        </w:rPr>
        <w:t>2002)</w:t>
      </w:r>
      <w:r w:rsidRPr="00961950">
        <w:rPr>
          <w:rFonts w:ascii="Times New Roman" w:hAnsi="Times New Roman"/>
          <w:sz w:val="24"/>
          <w:szCs w:val="24"/>
        </w:rPr>
        <w:t xml:space="preserve">. Isotopic compositions are from </w:t>
      </w:r>
      <w:r w:rsidR="001E2047">
        <w:rPr>
          <w:rFonts w:ascii="Times New Roman" w:hAnsi="Times New Roman"/>
          <w:noProof/>
          <w:sz w:val="24"/>
          <w:szCs w:val="24"/>
        </w:rPr>
        <w:t>Lemarchand et al.</w:t>
      </w:r>
      <w:r w:rsidR="00747895">
        <w:rPr>
          <w:rFonts w:ascii="Times New Roman" w:hAnsi="Times New Roman"/>
          <w:noProof/>
          <w:sz w:val="24"/>
          <w:szCs w:val="24"/>
        </w:rPr>
        <w:t xml:space="preserve"> </w:t>
      </w:r>
      <w:r w:rsidR="001E2047">
        <w:rPr>
          <w:rFonts w:ascii="Times New Roman" w:hAnsi="Times New Roman"/>
          <w:noProof/>
          <w:sz w:val="24"/>
          <w:szCs w:val="24"/>
        </w:rPr>
        <w:t>(</w:t>
      </w:r>
      <w:r w:rsidR="00747895">
        <w:rPr>
          <w:rFonts w:ascii="Times New Roman" w:hAnsi="Times New Roman"/>
          <w:noProof/>
          <w:sz w:val="24"/>
          <w:szCs w:val="24"/>
        </w:rPr>
        <w:t>200</w:t>
      </w:r>
      <w:r w:rsidR="00102A50">
        <w:rPr>
          <w:rFonts w:ascii="Times New Roman" w:hAnsi="Times New Roman"/>
          <w:noProof/>
          <w:sz w:val="24"/>
          <w:szCs w:val="24"/>
        </w:rPr>
        <w:t>0</w:t>
      </w:r>
      <w:r w:rsidRPr="00961950">
        <w:rPr>
          <w:rFonts w:ascii="Times New Roman" w:hAnsi="Times New Roman"/>
          <w:noProof/>
          <w:sz w:val="24"/>
          <w:szCs w:val="24"/>
        </w:rPr>
        <w:t>)</w:t>
      </w:r>
      <w:r w:rsidR="004A1E99">
        <w:rPr>
          <w:rFonts w:ascii="Times New Roman" w:hAnsi="Times New Roman"/>
          <w:noProof/>
          <w:sz w:val="24"/>
          <w:szCs w:val="24"/>
        </w:rPr>
        <w:t>, Foster et al., (2010)</w:t>
      </w:r>
      <w:r w:rsidR="0049170F">
        <w:rPr>
          <w:rFonts w:ascii="Times New Roman" w:hAnsi="Times New Roman"/>
          <w:noProof/>
          <w:sz w:val="24"/>
          <w:szCs w:val="24"/>
        </w:rPr>
        <w:t xml:space="preserve"> and references therein</w:t>
      </w:r>
      <w:r w:rsidRPr="00961950">
        <w:rPr>
          <w:rFonts w:ascii="Times New Roman" w:hAnsi="Times New Roman"/>
          <w:sz w:val="24"/>
          <w:szCs w:val="24"/>
        </w:rPr>
        <w:t>.</w:t>
      </w:r>
      <w:bookmarkEnd w:id="16"/>
    </w:p>
    <w:p w14:paraId="00DEFC89" w14:textId="2C1BD4B6" w:rsidR="001E2047" w:rsidRDefault="001E2047" w:rsidP="001E2047">
      <w:pPr>
        <w:pStyle w:val="Caption"/>
        <w:spacing w:line="360" w:lineRule="auto"/>
        <w:rPr>
          <w:rFonts w:ascii="Times New Roman" w:hAnsi="Times New Roman"/>
          <w:sz w:val="24"/>
          <w:szCs w:val="24"/>
        </w:rPr>
      </w:pPr>
      <w:bookmarkStart w:id="17" w:name="_Toc280369815"/>
      <w:r w:rsidRPr="00961950">
        <w:rPr>
          <w:rFonts w:ascii="Times New Roman" w:hAnsi="Times New Roman"/>
          <w:sz w:val="24"/>
          <w:szCs w:val="24"/>
        </w:rPr>
        <w:t xml:space="preserve">Figure </w:t>
      </w:r>
      <w:r>
        <w:rPr>
          <w:rFonts w:ascii="Times New Roman" w:hAnsi="Times New Roman"/>
          <w:sz w:val="24"/>
          <w:szCs w:val="24"/>
        </w:rPr>
        <w:t>2</w:t>
      </w:r>
      <w:r w:rsidRPr="00961950">
        <w:rPr>
          <w:rFonts w:ascii="Times New Roman" w:hAnsi="Times New Roman"/>
          <w:sz w:val="24"/>
          <w:szCs w:val="24"/>
        </w:rPr>
        <w:t xml:space="preserve">: </w:t>
      </w:r>
      <w:r w:rsidR="003F3EDC">
        <w:rPr>
          <w:rFonts w:ascii="Times New Roman" w:hAnsi="Times New Roman"/>
          <w:sz w:val="24"/>
          <w:szCs w:val="24"/>
        </w:rPr>
        <w:t>A</w:t>
      </w:r>
      <w:r w:rsidRPr="00961950">
        <w:rPr>
          <w:rFonts w:ascii="Times New Roman" w:hAnsi="Times New Roman"/>
          <w:sz w:val="24"/>
          <w:szCs w:val="24"/>
        </w:rPr>
        <w:t xml:space="preserve"> compilation of published δ</w:t>
      </w:r>
      <w:r w:rsidRPr="00961950">
        <w:rPr>
          <w:rFonts w:ascii="Times New Roman" w:hAnsi="Times New Roman"/>
          <w:sz w:val="24"/>
          <w:szCs w:val="24"/>
          <w:vertAlign w:val="superscript"/>
        </w:rPr>
        <w:t>11</w:t>
      </w:r>
      <w:r w:rsidRPr="00961950">
        <w:rPr>
          <w:rFonts w:ascii="Times New Roman" w:hAnsi="Times New Roman"/>
          <w:sz w:val="24"/>
          <w:szCs w:val="24"/>
        </w:rPr>
        <w:t>B</w:t>
      </w:r>
      <w:r w:rsidRPr="00961950">
        <w:rPr>
          <w:rFonts w:ascii="Times New Roman" w:hAnsi="Times New Roman"/>
          <w:sz w:val="24"/>
          <w:szCs w:val="24"/>
          <w:vertAlign w:val="subscript"/>
        </w:rPr>
        <w:t>sw</w:t>
      </w:r>
      <w:r w:rsidRPr="00961950">
        <w:rPr>
          <w:rFonts w:ascii="Times New Roman" w:hAnsi="Times New Roman"/>
          <w:sz w:val="24"/>
          <w:szCs w:val="24"/>
        </w:rPr>
        <w:t xml:space="preserve"> records. Seawater composition reconstructed from foraminifera depth profiles (</w:t>
      </w:r>
      <w:r>
        <w:rPr>
          <w:rFonts w:ascii="Times New Roman" w:hAnsi="Times New Roman"/>
          <w:sz w:val="24"/>
          <w:szCs w:val="24"/>
        </w:rPr>
        <w:t xml:space="preserve">light </w:t>
      </w:r>
      <w:r w:rsidRPr="00961950">
        <w:rPr>
          <w:rFonts w:ascii="Times New Roman" w:hAnsi="Times New Roman"/>
          <w:sz w:val="24"/>
          <w:szCs w:val="24"/>
        </w:rPr>
        <w:t xml:space="preserve">blue </w:t>
      </w:r>
      <w:r>
        <w:rPr>
          <w:rFonts w:ascii="Times New Roman" w:hAnsi="Times New Roman"/>
          <w:sz w:val="24"/>
          <w:szCs w:val="24"/>
        </w:rPr>
        <w:t>squares</w:t>
      </w:r>
      <w:r w:rsidRPr="00961950">
        <w:rPr>
          <w:rFonts w:ascii="Times New Roman" w:hAnsi="Times New Roman"/>
          <w:sz w:val="24"/>
          <w:szCs w:val="24"/>
        </w:rPr>
        <w:t xml:space="preserve"> and </w:t>
      </w:r>
      <w:r>
        <w:rPr>
          <w:rFonts w:ascii="Times New Roman" w:hAnsi="Times New Roman"/>
          <w:sz w:val="24"/>
          <w:szCs w:val="24"/>
        </w:rPr>
        <w:t>dark blue cross</w:t>
      </w:r>
      <w:r w:rsidRPr="00961950">
        <w:rPr>
          <w:rFonts w:ascii="Times New Roman" w:hAnsi="Times New Roman"/>
          <w:sz w:val="24"/>
          <w:szCs w:val="24"/>
        </w:rPr>
        <w:t xml:space="preserve">) from </w:t>
      </w:r>
      <w:r>
        <w:rPr>
          <w:rFonts w:ascii="Times New Roman" w:hAnsi="Times New Roman"/>
          <w:noProof/>
          <w:sz w:val="24"/>
          <w:szCs w:val="24"/>
        </w:rPr>
        <w:t>Pearson and Palmer</w:t>
      </w:r>
      <w:r w:rsidRPr="00961950">
        <w:rPr>
          <w:rFonts w:ascii="Times New Roman" w:hAnsi="Times New Roman"/>
          <w:noProof/>
          <w:sz w:val="24"/>
          <w:szCs w:val="24"/>
        </w:rPr>
        <w:t xml:space="preserve"> (2000)</w:t>
      </w:r>
      <w:r w:rsidRPr="00961950">
        <w:rPr>
          <w:rFonts w:ascii="Times New Roman" w:hAnsi="Times New Roman"/>
          <w:sz w:val="24"/>
          <w:szCs w:val="24"/>
        </w:rPr>
        <w:t xml:space="preserve"> and </w:t>
      </w:r>
      <w:r>
        <w:rPr>
          <w:rFonts w:ascii="Times New Roman" w:hAnsi="Times New Roman"/>
          <w:noProof/>
          <w:sz w:val="24"/>
          <w:szCs w:val="24"/>
        </w:rPr>
        <w:t>Foster et al.</w:t>
      </w:r>
      <w:r w:rsidRPr="00961950">
        <w:rPr>
          <w:rFonts w:ascii="Times New Roman" w:hAnsi="Times New Roman"/>
          <w:noProof/>
          <w:sz w:val="24"/>
          <w:szCs w:val="24"/>
        </w:rPr>
        <w:t xml:space="preserve"> (2012)</w:t>
      </w:r>
      <w:r w:rsidRPr="00961950">
        <w:rPr>
          <w:rFonts w:ascii="Times New Roman" w:hAnsi="Times New Roman"/>
          <w:sz w:val="24"/>
          <w:szCs w:val="24"/>
        </w:rPr>
        <w:t xml:space="preserve"> respectively, numerical modelling (green line), with </w:t>
      </w:r>
      <w:r>
        <w:rPr>
          <w:rFonts w:ascii="Times New Roman" w:hAnsi="Times New Roman"/>
          <w:sz w:val="24"/>
          <w:szCs w:val="24"/>
        </w:rPr>
        <w:t>additional green</w:t>
      </w:r>
      <w:r w:rsidRPr="00961950">
        <w:rPr>
          <w:rFonts w:ascii="Times New Roman" w:hAnsi="Times New Roman"/>
          <w:sz w:val="24"/>
          <w:szCs w:val="24"/>
        </w:rPr>
        <w:t xml:space="preserve"> lines shows ± 1 ‰ confidence interval </w:t>
      </w:r>
      <w:r>
        <w:rPr>
          <w:rFonts w:ascii="Times New Roman" w:hAnsi="Times New Roman"/>
          <w:noProof/>
          <w:sz w:val="24"/>
          <w:szCs w:val="24"/>
        </w:rPr>
        <w:t>(Lemarchand et al., 200</w:t>
      </w:r>
      <w:r w:rsidR="00102A50">
        <w:rPr>
          <w:rFonts w:ascii="Times New Roman" w:hAnsi="Times New Roman"/>
          <w:noProof/>
          <w:sz w:val="24"/>
          <w:szCs w:val="24"/>
        </w:rPr>
        <w:t>0</w:t>
      </w:r>
      <w:r w:rsidRPr="00961950">
        <w:rPr>
          <w:rFonts w:ascii="Times New Roman" w:hAnsi="Times New Roman"/>
          <w:noProof/>
          <w:sz w:val="24"/>
          <w:szCs w:val="24"/>
        </w:rPr>
        <w:t>)</w:t>
      </w:r>
      <w:r>
        <w:rPr>
          <w:rFonts w:ascii="Times New Roman" w:hAnsi="Times New Roman"/>
          <w:sz w:val="24"/>
          <w:szCs w:val="24"/>
        </w:rPr>
        <w:t>,</w:t>
      </w:r>
      <w:r w:rsidRPr="00961950">
        <w:rPr>
          <w:rFonts w:ascii="Times New Roman" w:hAnsi="Times New Roman"/>
          <w:sz w:val="24"/>
          <w:szCs w:val="24"/>
        </w:rPr>
        <w:t xml:space="preserve"> benthic δ</w:t>
      </w:r>
      <w:r w:rsidRPr="00961950">
        <w:rPr>
          <w:rFonts w:ascii="Times New Roman" w:hAnsi="Times New Roman"/>
          <w:sz w:val="24"/>
          <w:szCs w:val="24"/>
          <w:vertAlign w:val="superscript"/>
        </w:rPr>
        <w:t>11</w:t>
      </w:r>
      <w:r w:rsidRPr="00961950">
        <w:rPr>
          <w:rFonts w:ascii="Times New Roman" w:hAnsi="Times New Roman"/>
          <w:sz w:val="24"/>
          <w:szCs w:val="24"/>
        </w:rPr>
        <w:t xml:space="preserve">B (purple </w:t>
      </w:r>
      <w:r>
        <w:rPr>
          <w:rFonts w:ascii="Times New Roman" w:hAnsi="Times New Roman"/>
          <w:sz w:val="24"/>
          <w:szCs w:val="24"/>
        </w:rPr>
        <w:t xml:space="preserve">diamonds and </w:t>
      </w:r>
      <w:r w:rsidR="00B91062">
        <w:rPr>
          <w:rFonts w:ascii="Times New Roman" w:hAnsi="Times New Roman"/>
          <w:sz w:val="24"/>
          <w:szCs w:val="24"/>
        </w:rPr>
        <w:t xml:space="preserve">dark purple </w:t>
      </w:r>
      <w:r>
        <w:rPr>
          <w:rFonts w:ascii="Times New Roman" w:hAnsi="Times New Roman"/>
          <w:sz w:val="24"/>
          <w:szCs w:val="24"/>
        </w:rPr>
        <w:t>line</w:t>
      </w:r>
      <w:r w:rsidR="00DE5A23">
        <w:rPr>
          <w:rFonts w:ascii="Times New Roman" w:hAnsi="Times New Roman"/>
          <w:sz w:val="24"/>
          <w:szCs w:val="24"/>
        </w:rPr>
        <w:t xml:space="preserve"> showing 5pt moving average</w:t>
      </w:r>
      <w:r w:rsidR="00B91062">
        <w:rPr>
          <w:rFonts w:ascii="Times New Roman" w:hAnsi="Times New Roman"/>
          <w:sz w:val="24"/>
          <w:szCs w:val="24"/>
        </w:rPr>
        <w:t xml:space="preserve"> is using the fractionation factor of Klochko et al., 2006, light purple line</w:t>
      </w:r>
      <w:r w:rsidR="00DE5A23">
        <w:rPr>
          <w:rFonts w:ascii="Times New Roman" w:hAnsi="Times New Roman"/>
          <w:sz w:val="24"/>
          <w:szCs w:val="24"/>
        </w:rPr>
        <w:t xml:space="preserve"> showing 5pt moving average</w:t>
      </w:r>
      <w:r w:rsidR="00B91062">
        <w:rPr>
          <w:rFonts w:ascii="Times New Roman" w:hAnsi="Times New Roman"/>
          <w:sz w:val="24"/>
          <w:szCs w:val="24"/>
        </w:rPr>
        <w:t xml:space="preserve"> using an empirical calibration</w:t>
      </w:r>
      <w:r w:rsidRPr="00961950">
        <w:rPr>
          <w:rFonts w:ascii="Times New Roman" w:hAnsi="Times New Roman"/>
          <w:sz w:val="24"/>
          <w:szCs w:val="24"/>
        </w:rPr>
        <w:t xml:space="preserve">) from Raitzsch and </w:t>
      </w:r>
      <w:r>
        <w:rPr>
          <w:rFonts w:ascii="Times New Roman" w:hAnsi="Times New Roman"/>
          <w:sz w:val="24"/>
          <w:szCs w:val="24"/>
        </w:rPr>
        <w:t>Hönisch</w:t>
      </w:r>
      <w:r w:rsidRPr="00961950">
        <w:rPr>
          <w:rFonts w:ascii="Times New Roman" w:hAnsi="Times New Roman"/>
          <w:sz w:val="24"/>
          <w:szCs w:val="24"/>
        </w:rPr>
        <w:t xml:space="preserve"> </w:t>
      </w:r>
      <w:r>
        <w:rPr>
          <w:rFonts w:ascii="Times New Roman" w:hAnsi="Times New Roman"/>
          <w:sz w:val="24"/>
          <w:szCs w:val="24"/>
        </w:rPr>
        <w:t>(</w:t>
      </w:r>
      <w:r w:rsidRPr="00961950">
        <w:rPr>
          <w:rFonts w:ascii="Times New Roman" w:hAnsi="Times New Roman"/>
          <w:sz w:val="24"/>
          <w:szCs w:val="24"/>
        </w:rPr>
        <w:t>2013)</w:t>
      </w:r>
      <w:r>
        <w:rPr>
          <w:rFonts w:ascii="Times New Roman" w:hAnsi="Times New Roman"/>
          <w:noProof/>
          <w:sz w:val="24"/>
          <w:szCs w:val="24"/>
        </w:rPr>
        <w:t xml:space="preserve">, and </w:t>
      </w:r>
      <w:r w:rsidRPr="00961950">
        <w:rPr>
          <w:rFonts w:ascii="Times New Roman" w:hAnsi="Times New Roman"/>
          <w:sz w:val="24"/>
          <w:szCs w:val="24"/>
        </w:rPr>
        <w:t>halites (</w:t>
      </w:r>
      <w:r>
        <w:rPr>
          <w:rFonts w:ascii="Times New Roman" w:hAnsi="Times New Roman"/>
          <w:sz w:val="24"/>
          <w:szCs w:val="24"/>
        </w:rPr>
        <w:t xml:space="preserve">orange </w:t>
      </w:r>
      <w:r w:rsidR="003F3EDC">
        <w:rPr>
          <w:rFonts w:ascii="Times New Roman" w:hAnsi="Times New Roman"/>
          <w:sz w:val="24"/>
          <w:szCs w:val="24"/>
        </w:rPr>
        <w:t>crosses</w:t>
      </w:r>
      <w:r w:rsidRPr="00961950">
        <w:rPr>
          <w:rFonts w:ascii="Times New Roman" w:hAnsi="Times New Roman"/>
          <w:sz w:val="24"/>
          <w:szCs w:val="24"/>
        </w:rPr>
        <w:t xml:space="preserve">) from </w:t>
      </w:r>
      <w:r>
        <w:rPr>
          <w:rFonts w:ascii="Times New Roman" w:hAnsi="Times New Roman"/>
          <w:noProof/>
          <w:sz w:val="24"/>
          <w:szCs w:val="24"/>
        </w:rPr>
        <w:t>Paris et al.</w:t>
      </w:r>
      <w:r w:rsidRPr="00961950">
        <w:rPr>
          <w:rFonts w:ascii="Times New Roman" w:hAnsi="Times New Roman"/>
          <w:noProof/>
          <w:sz w:val="24"/>
          <w:szCs w:val="24"/>
        </w:rPr>
        <w:t xml:space="preserve"> </w:t>
      </w:r>
      <w:r>
        <w:rPr>
          <w:rFonts w:ascii="Times New Roman" w:hAnsi="Times New Roman"/>
          <w:noProof/>
          <w:sz w:val="24"/>
          <w:szCs w:val="24"/>
        </w:rPr>
        <w:t>(</w:t>
      </w:r>
      <w:r w:rsidRPr="00961950">
        <w:rPr>
          <w:rFonts w:ascii="Times New Roman" w:hAnsi="Times New Roman"/>
          <w:noProof/>
          <w:sz w:val="24"/>
          <w:szCs w:val="24"/>
        </w:rPr>
        <w:t>2010)</w:t>
      </w:r>
      <w:r w:rsidRPr="00961950">
        <w:rPr>
          <w:rFonts w:ascii="Times New Roman" w:hAnsi="Times New Roman"/>
          <w:sz w:val="24"/>
          <w:szCs w:val="24"/>
        </w:rPr>
        <w:t>.</w:t>
      </w:r>
      <w:r w:rsidR="00B91062">
        <w:rPr>
          <w:rFonts w:ascii="Times New Roman" w:hAnsi="Times New Roman"/>
          <w:sz w:val="24"/>
          <w:szCs w:val="24"/>
        </w:rPr>
        <w:t xml:space="preserve"> The orange crosses in brackets were discarded from the original study.</w:t>
      </w:r>
      <w:r w:rsidRPr="00961950">
        <w:rPr>
          <w:rFonts w:ascii="Times New Roman" w:hAnsi="Times New Roman"/>
          <w:sz w:val="24"/>
          <w:szCs w:val="24"/>
        </w:rPr>
        <w:t xml:space="preserve"> </w:t>
      </w:r>
    </w:p>
    <w:p w14:paraId="484A05FF" w14:textId="21149B22" w:rsidR="00961950" w:rsidRPr="00961950" w:rsidRDefault="00961950" w:rsidP="00961950">
      <w:pPr>
        <w:pStyle w:val="Caption"/>
        <w:spacing w:line="360" w:lineRule="auto"/>
        <w:rPr>
          <w:rFonts w:ascii="Times New Roman" w:hAnsi="Times New Roman"/>
          <w:sz w:val="24"/>
          <w:szCs w:val="24"/>
        </w:rPr>
      </w:pPr>
      <w:r w:rsidRPr="00961950">
        <w:rPr>
          <w:rFonts w:ascii="Times New Roman" w:hAnsi="Times New Roman"/>
          <w:sz w:val="24"/>
          <w:szCs w:val="24"/>
        </w:rPr>
        <w:t xml:space="preserve">Figure 3: </w:t>
      </w:r>
      <w:r w:rsidR="00675CB7">
        <w:rPr>
          <w:rFonts w:ascii="Times New Roman" w:hAnsi="Times New Roman"/>
          <w:sz w:val="24"/>
          <w:szCs w:val="24"/>
        </w:rPr>
        <w:t>Schematic diagram showing t</w:t>
      </w:r>
      <w:r w:rsidRPr="00961950">
        <w:rPr>
          <w:rFonts w:ascii="Times New Roman" w:hAnsi="Times New Roman"/>
          <w:sz w:val="24"/>
          <w:szCs w:val="24"/>
        </w:rPr>
        <w:t xml:space="preserve">he </w:t>
      </w:r>
      <w:r w:rsidR="00837BB0">
        <w:rPr>
          <w:rFonts w:ascii="Times New Roman" w:hAnsi="Times New Roman"/>
          <w:sz w:val="24"/>
          <w:szCs w:val="24"/>
        </w:rPr>
        <w:t>change in</w:t>
      </w:r>
      <w:r w:rsidRPr="00961950">
        <w:rPr>
          <w:rFonts w:ascii="Times New Roman" w:hAnsi="Times New Roman"/>
          <w:sz w:val="24"/>
          <w:szCs w:val="24"/>
        </w:rPr>
        <w:t xml:space="preserve"> pH </w:t>
      </w:r>
      <w:r w:rsidR="00837BB0">
        <w:rPr>
          <w:rFonts w:ascii="Times New Roman" w:hAnsi="Times New Roman"/>
          <w:sz w:val="24"/>
          <w:szCs w:val="24"/>
        </w:rPr>
        <w:t xml:space="preserve">gradient with a </w:t>
      </w:r>
      <w:r w:rsidR="00EC78C6">
        <w:rPr>
          <w:rFonts w:ascii="Times New Roman" w:hAnsi="Times New Roman"/>
          <w:sz w:val="24"/>
          <w:szCs w:val="24"/>
        </w:rPr>
        <w:t>3</w:t>
      </w:r>
      <w:r w:rsidR="00837BB0" w:rsidRPr="00961950">
        <w:rPr>
          <w:rFonts w:ascii="Times New Roman" w:hAnsi="Times New Roman"/>
          <w:sz w:val="24"/>
          <w:szCs w:val="24"/>
        </w:rPr>
        <w:t>‰</w:t>
      </w:r>
      <w:r w:rsidR="00837BB0">
        <w:rPr>
          <w:rFonts w:ascii="Times New Roman" w:hAnsi="Times New Roman"/>
          <w:sz w:val="24"/>
          <w:szCs w:val="24"/>
        </w:rPr>
        <w:t xml:space="preserve"> change in </w:t>
      </w:r>
      <w:r w:rsidR="00837BB0" w:rsidRPr="00837BB0">
        <w:rPr>
          <w:rFonts w:ascii="Times New Roman" w:hAnsi="Times New Roman"/>
          <w:sz w:val="24"/>
          <w:szCs w:val="24"/>
        </w:rPr>
        <w:t>δ</w:t>
      </w:r>
      <w:r w:rsidR="00837BB0" w:rsidRPr="00837BB0">
        <w:rPr>
          <w:rFonts w:ascii="Times New Roman" w:hAnsi="Times New Roman"/>
          <w:sz w:val="24"/>
          <w:szCs w:val="24"/>
          <w:vertAlign w:val="superscript"/>
        </w:rPr>
        <w:t>11</w:t>
      </w:r>
      <w:r w:rsidR="00837BB0" w:rsidRPr="00837BB0">
        <w:rPr>
          <w:rFonts w:ascii="Times New Roman" w:hAnsi="Times New Roman"/>
          <w:sz w:val="24"/>
          <w:szCs w:val="24"/>
        </w:rPr>
        <w:t>B</w:t>
      </w:r>
      <w:r w:rsidR="00837BB0">
        <w:rPr>
          <w:rFonts w:ascii="Times New Roman" w:hAnsi="Times New Roman"/>
          <w:sz w:val="24"/>
          <w:szCs w:val="24"/>
        </w:rPr>
        <w:t xml:space="preserve"> </w:t>
      </w:r>
      <w:r w:rsidRPr="00961950">
        <w:rPr>
          <w:rFonts w:ascii="Times New Roman" w:hAnsi="Times New Roman"/>
          <w:sz w:val="24"/>
          <w:szCs w:val="24"/>
        </w:rPr>
        <w:t>for δ</w:t>
      </w:r>
      <w:r w:rsidRPr="00961950">
        <w:rPr>
          <w:rFonts w:ascii="Times New Roman" w:hAnsi="Times New Roman"/>
          <w:sz w:val="24"/>
          <w:szCs w:val="24"/>
          <w:vertAlign w:val="superscript"/>
        </w:rPr>
        <w:t>11</w:t>
      </w:r>
      <w:r w:rsidRPr="00961950">
        <w:rPr>
          <w:rFonts w:ascii="Times New Roman" w:hAnsi="Times New Roman"/>
          <w:sz w:val="24"/>
          <w:szCs w:val="24"/>
        </w:rPr>
        <w:t>B</w:t>
      </w:r>
      <w:r w:rsidRPr="00961950">
        <w:rPr>
          <w:rFonts w:ascii="Times New Roman" w:hAnsi="Times New Roman"/>
          <w:sz w:val="24"/>
          <w:szCs w:val="24"/>
          <w:vertAlign w:val="subscript"/>
        </w:rPr>
        <w:t>sw</w:t>
      </w:r>
      <w:r w:rsidRPr="00961950">
        <w:rPr>
          <w:rFonts w:ascii="Times New Roman" w:hAnsi="Times New Roman"/>
          <w:sz w:val="24"/>
          <w:szCs w:val="24"/>
        </w:rPr>
        <w:t xml:space="preserve"> of </w:t>
      </w:r>
      <w:r w:rsidR="009B3167">
        <w:rPr>
          <w:rFonts w:ascii="Times New Roman" w:hAnsi="Times New Roman"/>
          <w:sz w:val="24"/>
          <w:szCs w:val="24"/>
        </w:rPr>
        <w:t xml:space="preserve">a) </w:t>
      </w:r>
      <w:r w:rsidRPr="00961950">
        <w:rPr>
          <w:rFonts w:ascii="Times New Roman" w:hAnsi="Times New Roman"/>
          <w:sz w:val="24"/>
          <w:szCs w:val="24"/>
        </w:rPr>
        <w:t xml:space="preserve">39.6‰ and </w:t>
      </w:r>
      <w:r w:rsidR="009B3167">
        <w:rPr>
          <w:rFonts w:ascii="Times New Roman" w:hAnsi="Times New Roman"/>
          <w:sz w:val="24"/>
          <w:szCs w:val="24"/>
        </w:rPr>
        <w:t>b)</w:t>
      </w:r>
      <w:r w:rsidRPr="00961950">
        <w:rPr>
          <w:rFonts w:ascii="Times New Roman" w:hAnsi="Times New Roman"/>
          <w:sz w:val="24"/>
          <w:szCs w:val="24"/>
        </w:rPr>
        <w:t xml:space="preserve"> 37.5‰.</w:t>
      </w:r>
      <w:r w:rsidR="00B91062">
        <w:rPr>
          <w:rFonts w:ascii="Times New Roman" w:hAnsi="Times New Roman"/>
          <w:sz w:val="24"/>
          <w:szCs w:val="24"/>
        </w:rPr>
        <w:t xml:space="preserve"> Arrows highlight the different pH gradients.</w:t>
      </w:r>
      <w:r w:rsidR="00675CB7">
        <w:rPr>
          <w:rFonts w:ascii="Times New Roman" w:hAnsi="Times New Roman"/>
          <w:sz w:val="24"/>
          <w:szCs w:val="24"/>
        </w:rPr>
        <w:t xml:space="preserve"> </w:t>
      </w:r>
      <w:r w:rsidR="00837BB0">
        <w:rPr>
          <w:rFonts w:ascii="Times New Roman" w:hAnsi="Times New Roman"/>
          <w:sz w:val="24"/>
          <w:szCs w:val="24"/>
        </w:rPr>
        <w:t>Note</w:t>
      </w:r>
      <w:r w:rsidR="00675CB7">
        <w:rPr>
          <w:rFonts w:ascii="Times New Roman" w:hAnsi="Times New Roman"/>
          <w:sz w:val="24"/>
          <w:szCs w:val="24"/>
        </w:rPr>
        <w:t xml:space="preserve"> how a </w:t>
      </w:r>
      <w:r w:rsidR="00675CB7" w:rsidRPr="00675CB7">
        <w:rPr>
          <w:rFonts w:ascii="Times New Roman" w:hAnsi="Times New Roman"/>
          <w:sz w:val="24"/>
          <w:szCs w:val="24"/>
        </w:rPr>
        <w:t>δ</w:t>
      </w:r>
      <w:r w:rsidR="00675CB7" w:rsidRPr="00675CB7">
        <w:rPr>
          <w:rFonts w:ascii="Times New Roman" w:hAnsi="Times New Roman"/>
          <w:sz w:val="24"/>
          <w:szCs w:val="24"/>
          <w:vertAlign w:val="superscript"/>
        </w:rPr>
        <w:t>11</w:t>
      </w:r>
      <w:r w:rsidR="00675CB7" w:rsidRPr="00675CB7">
        <w:rPr>
          <w:rFonts w:ascii="Times New Roman" w:hAnsi="Times New Roman"/>
          <w:sz w:val="24"/>
          <w:szCs w:val="24"/>
        </w:rPr>
        <w:t>B</w:t>
      </w:r>
      <w:r w:rsidR="00675CB7">
        <w:rPr>
          <w:rFonts w:ascii="Times New Roman" w:hAnsi="Times New Roman"/>
          <w:sz w:val="24"/>
          <w:szCs w:val="24"/>
        </w:rPr>
        <w:t xml:space="preserve"> difference of </w:t>
      </w:r>
      <w:r w:rsidR="00EC78C6">
        <w:rPr>
          <w:rFonts w:ascii="Times New Roman" w:hAnsi="Times New Roman"/>
          <w:sz w:val="24"/>
          <w:szCs w:val="24"/>
        </w:rPr>
        <w:t>3</w:t>
      </w:r>
      <w:r w:rsidR="00837BB0">
        <w:rPr>
          <w:rFonts w:ascii="Times New Roman" w:hAnsi="Times New Roman"/>
          <w:sz w:val="24"/>
          <w:szCs w:val="24"/>
        </w:rPr>
        <w:t xml:space="preserve"> </w:t>
      </w:r>
      <w:r w:rsidR="00837BB0" w:rsidRPr="00961950">
        <w:rPr>
          <w:rFonts w:ascii="Times New Roman" w:hAnsi="Times New Roman"/>
          <w:sz w:val="24"/>
          <w:szCs w:val="24"/>
        </w:rPr>
        <w:t>‰</w:t>
      </w:r>
      <w:r w:rsidR="00675CB7">
        <w:rPr>
          <w:rFonts w:ascii="Times New Roman" w:hAnsi="Times New Roman"/>
          <w:sz w:val="24"/>
          <w:szCs w:val="24"/>
        </w:rPr>
        <w:t xml:space="preserve"> is translated into different pH gradients depending on the </w:t>
      </w:r>
      <w:r w:rsidR="00675CB7" w:rsidRPr="00675CB7">
        <w:rPr>
          <w:rFonts w:ascii="Times New Roman" w:hAnsi="Times New Roman"/>
          <w:sz w:val="24"/>
          <w:szCs w:val="24"/>
        </w:rPr>
        <w:t>δ</w:t>
      </w:r>
      <w:r w:rsidR="00675CB7" w:rsidRPr="00675CB7">
        <w:rPr>
          <w:rFonts w:ascii="Times New Roman" w:hAnsi="Times New Roman"/>
          <w:sz w:val="24"/>
          <w:szCs w:val="24"/>
          <w:vertAlign w:val="superscript"/>
        </w:rPr>
        <w:t>11</w:t>
      </w:r>
      <w:r w:rsidR="00675CB7" w:rsidRPr="00675CB7">
        <w:rPr>
          <w:rFonts w:ascii="Times New Roman" w:hAnsi="Times New Roman"/>
          <w:sz w:val="24"/>
          <w:szCs w:val="24"/>
        </w:rPr>
        <w:t>B</w:t>
      </w:r>
      <w:r w:rsidR="00675CB7">
        <w:rPr>
          <w:rFonts w:ascii="Times New Roman" w:hAnsi="Times New Roman"/>
          <w:sz w:val="24"/>
          <w:szCs w:val="24"/>
          <w:vertAlign w:val="subscript"/>
        </w:rPr>
        <w:t>sw</w:t>
      </w:r>
      <w:r w:rsidR="00675CB7">
        <w:rPr>
          <w:rFonts w:ascii="Times New Roman" w:hAnsi="Times New Roman"/>
          <w:sz w:val="24"/>
          <w:szCs w:val="24"/>
        </w:rPr>
        <w:t>.</w:t>
      </w:r>
      <w:r w:rsidRPr="00961950">
        <w:rPr>
          <w:rFonts w:ascii="Times New Roman" w:hAnsi="Times New Roman"/>
          <w:sz w:val="24"/>
          <w:szCs w:val="24"/>
        </w:rPr>
        <w:t xml:space="preserve"> Calculated using B</w:t>
      </w:r>
      <w:r w:rsidRPr="00961950">
        <w:rPr>
          <w:rFonts w:ascii="Times New Roman" w:hAnsi="Times New Roman"/>
          <w:sz w:val="24"/>
          <w:szCs w:val="24"/>
          <w:vertAlign w:val="subscript"/>
        </w:rPr>
        <w:t>T</w:t>
      </w:r>
      <w:r w:rsidRPr="00961950">
        <w:rPr>
          <w:rFonts w:ascii="Times New Roman" w:hAnsi="Times New Roman"/>
          <w:sz w:val="24"/>
          <w:szCs w:val="24"/>
        </w:rPr>
        <w:t xml:space="preserve">= 432.6 </w:t>
      </w:r>
      <w:r w:rsidRPr="00961950">
        <w:rPr>
          <w:rFonts w:ascii="Times New Roman" w:hAnsi="Times New Roman"/>
          <w:sz w:val="24"/>
          <w:szCs w:val="24"/>
        </w:rPr>
        <w:sym w:font="Symbol" w:char="F06D"/>
      </w:r>
      <w:r w:rsidRPr="00961950">
        <w:rPr>
          <w:rFonts w:ascii="Times New Roman" w:hAnsi="Times New Roman"/>
          <w:sz w:val="24"/>
          <w:szCs w:val="24"/>
        </w:rPr>
        <w:t xml:space="preserve">mol/kg </w:t>
      </w:r>
      <w:r w:rsidRPr="00961950">
        <w:rPr>
          <w:rFonts w:ascii="Times New Roman" w:hAnsi="Times New Roman"/>
          <w:noProof/>
          <w:sz w:val="24"/>
          <w:szCs w:val="24"/>
        </w:rPr>
        <w:t>(Lee et al., 2010)</w:t>
      </w:r>
      <w:r w:rsidRPr="00961950">
        <w:rPr>
          <w:rFonts w:ascii="Times New Roman" w:hAnsi="Times New Roman"/>
          <w:sz w:val="24"/>
          <w:szCs w:val="24"/>
        </w:rPr>
        <w:t xml:space="preserve"> and </w:t>
      </w:r>
      <w:r w:rsidRPr="00961950">
        <w:rPr>
          <w:rFonts w:ascii="Times New Roman" w:hAnsi="Times New Roman"/>
          <w:sz w:val="24"/>
          <w:szCs w:val="24"/>
        </w:rPr>
        <w:sym w:font="Symbol" w:char="F061"/>
      </w:r>
      <w:r w:rsidRPr="00961950">
        <w:rPr>
          <w:rFonts w:ascii="Times New Roman" w:hAnsi="Times New Roman"/>
          <w:sz w:val="24"/>
          <w:szCs w:val="24"/>
          <w:vertAlign w:val="subscript"/>
        </w:rPr>
        <w:t>B</w:t>
      </w:r>
      <w:r w:rsidRPr="00961950">
        <w:rPr>
          <w:rFonts w:ascii="Times New Roman" w:hAnsi="Times New Roman"/>
          <w:sz w:val="24"/>
          <w:szCs w:val="24"/>
        </w:rPr>
        <w:t xml:space="preserve">= 1.0272 </w:t>
      </w:r>
      <w:r w:rsidRPr="00961950">
        <w:rPr>
          <w:rFonts w:ascii="Times New Roman" w:hAnsi="Times New Roman"/>
          <w:noProof/>
          <w:sz w:val="24"/>
          <w:szCs w:val="24"/>
        </w:rPr>
        <w:t>(Klochko et al., 2006)</w:t>
      </w:r>
      <w:r w:rsidRPr="00961950">
        <w:rPr>
          <w:rFonts w:ascii="Times New Roman" w:hAnsi="Times New Roman"/>
          <w:sz w:val="24"/>
          <w:szCs w:val="24"/>
        </w:rPr>
        <w:t xml:space="preserve">. </w:t>
      </w:r>
      <w:bookmarkEnd w:id="17"/>
      <w:r w:rsidR="009B3167">
        <w:rPr>
          <w:rFonts w:ascii="Times New Roman" w:hAnsi="Times New Roman"/>
          <w:sz w:val="24"/>
          <w:szCs w:val="24"/>
        </w:rPr>
        <w:t xml:space="preserve">(c) The pH change for a </w:t>
      </w:r>
      <w:r w:rsidR="009B3167" w:rsidRPr="009B3167">
        <w:rPr>
          <w:rFonts w:ascii="Times New Roman" w:hAnsi="Times New Roman"/>
          <w:color w:val="000000"/>
          <w:sz w:val="24"/>
          <w:szCs w:val="18"/>
        </w:rPr>
        <w:t>δ</w:t>
      </w:r>
      <w:r w:rsidR="009B3167" w:rsidRPr="009B3167">
        <w:rPr>
          <w:rFonts w:ascii="Times New Roman" w:hAnsi="Times New Roman"/>
          <w:color w:val="000000"/>
          <w:sz w:val="24"/>
          <w:szCs w:val="12"/>
          <w:vertAlign w:val="superscript"/>
        </w:rPr>
        <w:t>11</w:t>
      </w:r>
      <w:r w:rsidR="009B3167" w:rsidRPr="009B3167">
        <w:rPr>
          <w:rFonts w:ascii="Times New Roman" w:hAnsi="Times New Roman"/>
          <w:color w:val="000000"/>
          <w:sz w:val="24"/>
          <w:szCs w:val="18"/>
        </w:rPr>
        <w:t>B</w:t>
      </w:r>
      <w:r w:rsidR="009B3167">
        <w:rPr>
          <w:rFonts w:ascii="Times New Roman" w:hAnsi="Times New Roman"/>
          <w:sz w:val="24"/>
          <w:szCs w:val="24"/>
        </w:rPr>
        <w:t xml:space="preserve"> change of </w:t>
      </w:r>
      <w:r w:rsidR="00EC78C6">
        <w:rPr>
          <w:rFonts w:ascii="Times New Roman" w:hAnsi="Times New Roman"/>
          <w:sz w:val="24"/>
          <w:szCs w:val="24"/>
        </w:rPr>
        <w:t>3</w:t>
      </w:r>
      <w:r w:rsidR="009B3167">
        <w:rPr>
          <w:rFonts w:ascii="Times New Roman" w:hAnsi="Times New Roman"/>
          <w:sz w:val="24"/>
          <w:szCs w:val="24"/>
        </w:rPr>
        <w:t xml:space="preserve"> </w:t>
      </w:r>
      <w:r w:rsidR="009B3167" w:rsidRPr="00961950">
        <w:rPr>
          <w:rFonts w:ascii="Times New Roman" w:hAnsi="Times New Roman"/>
          <w:sz w:val="24"/>
          <w:szCs w:val="24"/>
        </w:rPr>
        <w:t>‰</w:t>
      </w:r>
      <w:r w:rsidR="009B3167">
        <w:rPr>
          <w:rFonts w:ascii="Times New Roman" w:hAnsi="Times New Roman"/>
          <w:sz w:val="24"/>
          <w:szCs w:val="24"/>
        </w:rPr>
        <w:t xml:space="preserve"> at a range of different </w:t>
      </w:r>
      <w:r w:rsidR="009B3167" w:rsidRPr="009B3167">
        <w:rPr>
          <w:rFonts w:ascii="Times New Roman" w:hAnsi="Times New Roman"/>
          <w:color w:val="000000"/>
          <w:sz w:val="24"/>
          <w:szCs w:val="18"/>
        </w:rPr>
        <w:t>δ</w:t>
      </w:r>
      <w:r w:rsidR="009B3167" w:rsidRPr="009B3167">
        <w:rPr>
          <w:rFonts w:ascii="Times New Roman" w:hAnsi="Times New Roman"/>
          <w:color w:val="000000"/>
          <w:sz w:val="24"/>
          <w:szCs w:val="12"/>
          <w:vertAlign w:val="superscript"/>
        </w:rPr>
        <w:t>11</w:t>
      </w:r>
      <w:r w:rsidR="009B3167" w:rsidRPr="009B3167">
        <w:rPr>
          <w:rFonts w:ascii="Times New Roman" w:hAnsi="Times New Roman"/>
          <w:color w:val="000000"/>
          <w:sz w:val="24"/>
          <w:szCs w:val="18"/>
        </w:rPr>
        <w:t>B</w:t>
      </w:r>
      <w:r w:rsidR="009B3167">
        <w:rPr>
          <w:rFonts w:ascii="Times New Roman" w:hAnsi="Times New Roman"/>
          <w:color w:val="000000"/>
          <w:sz w:val="24"/>
          <w:szCs w:val="18"/>
          <w:vertAlign w:val="subscript"/>
        </w:rPr>
        <w:t>sw</w:t>
      </w:r>
      <w:r w:rsidR="009B3167">
        <w:rPr>
          <w:rFonts w:ascii="Times New Roman" w:hAnsi="Times New Roman"/>
          <w:color w:val="000000"/>
          <w:sz w:val="24"/>
          <w:szCs w:val="18"/>
        </w:rPr>
        <w:t>.</w:t>
      </w:r>
      <w:r w:rsidR="009B3167">
        <w:rPr>
          <w:rFonts w:ascii="Times New Roman" w:hAnsi="Times New Roman"/>
          <w:sz w:val="24"/>
          <w:szCs w:val="24"/>
        </w:rPr>
        <w:t xml:space="preserve"> </w:t>
      </w:r>
    </w:p>
    <w:p w14:paraId="0307D14D" w14:textId="165C7515" w:rsidR="00321545" w:rsidRPr="008E4EDA" w:rsidRDefault="00321545" w:rsidP="00CE1586">
      <w:pPr>
        <w:pStyle w:val="Body"/>
        <w:spacing w:line="360" w:lineRule="auto"/>
        <w:rPr>
          <w:rFonts w:hAnsi="Times New Roman" w:cs="Times New Roman"/>
        </w:rPr>
      </w:pPr>
      <w:bookmarkStart w:id="18" w:name="_Toc280369819"/>
      <w:bookmarkStart w:id="19" w:name="_Toc280369820"/>
      <w:bookmarkStart w:id="20" w:name="_Toc280369821"/>
      <w:bookmarkStart w:id="21" w:name="_Toc280369822"/>
      <w:bookmarkStart w:id="22" w:name="_Toc280369823"/>
      <w:bookmarkStart w:id="23" w:name="_Toc280369824"/>
      <w:bookmarkStart w:id="24" w:name="_Toc280369464"/>
      <w:r>
        <w:rPr>
          <w:rFonts w:hAnsi="Times New Roman"/>
        </w:rPr>
        <w:t xml:space="preserve">Figure 4: </w:t>
      </w:r>
      <w:r w:rsidRPr="008E4EDA">
        <w:rPr>
          <w:rFonts w:hAnsi="Times New Roman" w:cs="Times New Roman"/>
        </w:rPr>
        <w:t xml:space="preserve">Map of study sites and mean annual air-sea disequilibria with respect to </w:t>
      </w:r>
      <w:r w:rsidRPr="00620527">
        <w:rPr>
          <w:rFonts w:hAnsi="Times New Roman" w:cs="Times New Roman"/>
          <w:i/>
        </w:rPr>
        <w:t>p</w:t>
      </w:r>
      <w:r w:rsidRPr="008E4EDA">
        <w:rPr>
          <w:rFonts w:hAnsi="Times New Roman" w:cs="Times New Roman"/>
        </w:rPr>
        <w:t>CO</w:t>
      </w:r>
      <w:r w:rsidRPr="00620527">
        <w:rPr>
          <w:rFonts w:hAnsi="Times New Roman" w:cs="Times New Roman"/>
          <w:vertAlign w:val="subscript"/>
        </w:rPr>
        <w:t>2</w:t>
      </w:r>
      <w:r w:rsidRPr="008E4EDA">
        <w:rPr>
          <w:rFonts w:hAnsi="Times New Roman" w:cs="Times New Roman"/>
        </w:rPr>
        <w:t xml:space="preserve">. The black dots indicate the location of the sites </w:t>
      </w:r>
      <w:r>
        <w:rPr>
          <w:rFonts w:hAnsi="Times New Roman" w:cs="Times New Roman"/>
        </w:rPr>
        <w:t>used in this study. ODP Sites 758, 999, 926 and 761 used in this study are highlighted with water depth</w:t>
      </w:r>
      <w:r w:rsidRPr="008E4EDA">
        <w:rPr>
          <w:rFonts w:hAnsi="Times New Roman" w:cs="Times New Roman"/>
        </w:rPr>
        <w:t xml:space="preserve">. Data are from </w:t>
      </w:r>
      <w:r w:rsidRPr="000B37FD">
        <w:rPr>
          <w:rFonts w:hAnsi="Times New Roman" w:cs="Times New Roman"/>
        </w:rPr>
        <w:fldChar w:fldCharType="begin">
          <w:fldData xml:space="preserve">PEVuZE5vdGU+PENpdGU+PEF1dGhvcj5UYWthaGFzaGk8L0F1dGhvcj48WWVhcj4yMDA5PC9ZZWFy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=
</w:fldData>
        </w:fldChar>
      </w:r>
      <w:r w:rsidRPr="000B37FD">
        <w:rPr>
          <w:rFonts w:hAnsi="Times New Roman" w:cs="Times New Roman"/>
        </w:rPr>
        <w:instrText xml:space="preserve"> ADDIN EN.CITE </w:instrText>
      </w:r>
      <w:r w:rsidRPr="00CE1586">
        <w:rPr>
          <w:rFonts w:hAnsi="Times New Roman" w:cs="Times New Roman"/>
        </w:rPr>
        <w:fldChar w:fldCharType="begin">
          <w:fldData xml:space="preserve">PEVuZE5vdGU+PENpdGU+PEF1dGhvcj5UYWthaGFzaGk8L0F1dGhvcj48WWVhcj4yMDA5PC9ZZWFy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=
</w:fldData>
        </w:fldChar>
      </w:r>
      <w:r w:rsidRPr="000B37FD">
        <w:rPr>
          <w:rFonts w:hAnsi="Times New Roman" w:cs="Times New Roman"/>
        </w:rPr>
        <w:instrText xml:space="preserve"> ADDIN EN.CITE.DATA </w:instrText>
      </w:r>
      <w:r w:rsidRPr="00CE1586">
        <w:rPr>
          <w:rFonts w:hAnsi="Times New Roman" w:cs="Times New Roman"/>
        </w:rPr>
      </w:r>
      <w:r w:rsidRPr="00CE1586">
        <w:rPr>
          <w:rFonts w:hAnsi="Times New Roman" w:cs="Times New Roman"/>
        </w:rPr>
        <w:fldChar w:fldCharType="end"/>
      </w:r>
      <w:r w:rsidRPr="000B37FD">
        <w:rPr>
          <w:rFonts w:hAnsi="Times New Roman" w:cs="Times New Roman"/>
        </w:rPr>
      </w:r>
      <w:r w:rsidRPr="000B37FD">
        <w:rPr>
          <w:rFonts w:hAnsi="Times New Roman" w:cs="Times New Roman"/>
        </w:rPr>
        <w:fldChar w:fldCharType="separate"/>
      </w:r>
      <w:r w:rsidRPr="000B37FD">
        <w:rPr>
          <w:rFonts w:hAnsi="Times New Roman" w:cs="Times New Roman"/>
          <w:noProof/>
        </w:rPr>
        <w:t>(</w:t>
      </w:r>
      <w:r w:rsidRPr="004F0FF0">
        <w:rPr>
          <w:rFonts w:hAnsi="Times New Roman" w:cs="Times New Roman"/>
          <w:noProof/>
        </w:rPr>
        <w:t>Takahashi et al., 2009)</w:t>
      </w:r>
      <w:r w:rsidRPr="000B37FD">
        <w:rPr>
          <w:rFonts w:hAnsi="Times New Roman" w:cs="Times New Roman"/>
        </w:rPr>
        <w:fldChar w:fldCharType="end"/>
      </w:r>
      <w:r w:rsidR="000B37FD">
        <w:rPr>
          <w:rFonts w:hAnsi="Times New Roman" w:cs="Times New Roman"/>
        </w:rPr>
        <w:t xml:space="preserve"> plotted using ODV (Schlitzer, 2016)</w:t>
      </w:r>
      <w:r>
        <w:rPr>
          <w:rFonts w:hAnsi="Times New Roman" w:cs="Times New Roman"/>
        </w:rPr>
        <w:t>.</w:t>
      </w:r>
    </w:p>
    <w:p w14:paraId="61711440" w14:textId="7090DAE0" w:rsidR="00B14828" w:rsidRPr="00961950" w:rsidRDefault="00B14828" w:rsidP="00B14828">
      <w:pPr>
        <w:pStyle w:val="Caption"/>
        <w:spacing w:line="360" w:lineRule="auto"/>
        <w:rPr>
          <w:rFonts w:ascii="Times New Roman" w:hAnsi="Times New Roman"/>
          <w:sz w:val="24"/>
          <w:szCs w:val="24"/>
        </w:rPr>
      </w:pPr>
      <w:r w:rsidRPr="00961950">
        <w:rPr>
          <w:rFonts w:ascii="Times New Roman" w:hAnsi="Times New Roman"/>
          <w:sz w:val="24"/>
          <w:szCs w:val="24"/>
        </w:rPr>
        <w:t xml:space="preserve">Figure </w:t>
      </w:r>
      <w:r w:rsidR="00321545">
        <w:rPr>
          <w:rFonts w:ascii="Times New Roman" w:hAnsi="Times New Roman"/>
          <w:sz w:val="24"/>
          <w:szCs w:val="24"/>
        </w:rPr>
        <w:t>5</w:t>
      </w:r>
      <w:r w:rsidRPr="00961950">
        <w:rPr>
          <w:rFonts w:ascii="Times New Roman" w:hAnsi="Times New Roman"/>
          <w:sz w:val="24"/>
          <w:szCs w:val="24"/>
        </w:rPr>
        <w:t xml:space="preserve">: Latitudinal cross-section through the Atlantic showing </w:t>
      </w:r>
      <w:r w:rsidR="005F0C90">
        <w:rPr>
          <w:rFonts w:ascii="Times New Roman" w:hAnsi="Times New Roman"/>
          <w:sz w:val="24"/>
          <w:szCs w:val="24"/>
        </w:rPr>
        <w:t>(</w:t>
      </w:r>
      <w:r w:rsidRPr="00961950">
        <w:rPr>
          <w:rFonts w:ascii="Times New Roman" w:hAnsi="Times New Roman"/>
          <w:sz w:val="24"/>
          <w:szCs w:val="24"/>
        </w:rPr>
        <w:t>a) pH variations</w:t>
      </w:r>
      <w:r w:rsidR="005F0C90">
        <w:rPr>
          <w:rFonts w:ascii="Times New Roman" w:hAnsi="Times New Roman"/>
          <w:sz w:val="24"/>
          <w:szCs w:val="24"/>
        </w:rPr>
        <w:t>;</w:t>
      </w:r>
      <w:r w:rsidRPr="00961950">
        <w:rPr>
          <w:rFonts w:ascii="Times New Roman" w:hAnsi="Times New Roman"/>
          <w:sz w:val="24"/>
          <w:szCs w:val="24"/>
        </w:rPr>
        <w:t xml:space="preserve"> </w:t>
      </w:r>
      <w:r w:rsidR="005F0C90">
        <w:rPr>
          <w:rFonts w:ascii="Times New Roman" w:hAnsi="Times New Roman"/>
          <w:sz w:val="24"/>
          <w:szCs w:val="24"/>
        </w:rPr>
        <w:t>(</w:t>
      </w:r>
      <w:r w:rsidRPr="00961950">
        <w:rPr>
          <w:rFonts w:ascii="Times New Roman" w:hAnsi="Times New Roman"/>
          <w:sz w:val="24"/>
          <w:szCs w:val="24"/>
        </w:rPr>
        <w:t>b) the δ</w:t>
      </w:r>
      <w:r w:rsidRPr="00961950">
        <w:rPr>
          <w:rFonts w:ascii="Times New Roman" w:hAnsi="Times New Roman"/>
          <w:sz w:val="24"/>
          <w:szCs w:val="24"/>
          <w:vertAlign w:val="superscript"/>
        </w:rPr>
        <w:t>13</w:t>
      </w:r>
      <w:r w:rsidRPr="00961950">
        <w:rPr>
          <w:rFonts w:ascii="Times New Roman" w:hAnsi="Times New Roman"/>
          <w:sz w:val="24"/>
          <w:szCs w:val="24"/>
        </w:rPr>
        <w:t xml:space="preserve">C composition. Data </w:t>
      </w:r>
      <w:r>
        <w:rPr>
          <w:rFonts w:ascii="Times New Roman" w:hAnsi="Times New Roman"/>
          <w:sz w:val="24"/>
          <w:szCs w:val="24"/>
        </w:rPr>
        <w:t>are</w:t>
      </w:r>
      <w:r w:rsidRPr="00961950">
        <w:rPr>
          <w:rFonts w:ascii="Times New Roman" w:hAnsi="Times New Roman"/>
          <w:sz w:val="24"/>
          <w:szCs w:val="24"/>
        </w:rPr>
        <w:t xml:space="preserve"> plotted using Ocean Data View</w:t>
      </w:r>
      <w:r w:rsidR="00534E1C">
        <w:rPr>
          <w:rFonts w:ascii="Times New Roman" w:hAnsi="Times New Roman"/>
          <w:sz w:val="24"/>
          <w:szCs w:val="24"/>
        </w:rPr>
        <w:t xml:space="preserve"> (Schlitzer </w:t>
      </w:r>
      <w:r w:rsidR="004F0FF0">
        <w:rPr>
          <w:rFonts w:ascii="Times New Roman" w:hAnsi="Times New Roman"/>
          <w:sz w:val="24"/>
          <w:szCs w:val="24"/>
        </w:rPr>
        <w:t>2016</w:t>
      </w:r>
      <w:r w:rsidR="00534E1C">
        <w:rPr>
          <w:rFonts w:ascii="Times New Roman" w:hAnsi="Times New Roman"/>
          <w:sz w:val="24"/>
          <w:szCs w:val="24"/>
        </w:rPr>
        <w:t>)</w:t>
      </w:r>
      <w:r w:rsidRPr="00961950">
        <w:rPr>
          <w:rFonts w:ascii="Times New Roman" w:hAnsi="Times New Roman"/>
          <w:sz w:val="24"/>
          <w:szCs w:val="24"/>
        </w:rPr>
        <w:t xml:space="preserve">. pH data </w:t>
      </w:r>
      <w:r>
        <w:rPr>
          <w:rFonts w:ascii="Times New Roman" w:hAnsi="Times New Roman"/>
          <w:sz w:val="24"/>
          <w:szCs w:val="24"/>
        </w:rPr>
        <w:t>are</w:t>
      </w:r>
      <w:r w:rsidRPr="00961950">
        <w:rPr>
          <w:rFonts w:ascii="Times New Roman" w:hAnsi="Times New Roman"/>
          <w:sz w:val="24"/>
          <w:szCs w:val="24"/>
        </w:rPr>
        <w:t xml:space="preserve"> from the CARINA dataset</w:t>
      </w:r>
      <w:r w:rsidR="00EC78C6">
        <w:rPr>
          <w:rFonts w:ascii="Times New Roman" w:hAnsi="Times New Roman"/>
          <w:sz w:val="24"/>
          <w:szCs w:val="24"/>
        </w:rPr>
        <w:t xml:space="preserve"> (CARINA group, 2009)</w:t>
      </w:r>
      <w:r w:rsidRPr="00961950">
        <w:rPr>
          <w:rFonts w:ascii="Times New Roman" w:hAnsi="Times New Roman"/>
          <w:sz w:val="24"/>
          <w:szCs w:val="24"/>
        </w:rPr>
        <w:t xml:space="preserve"> and the δ</w:t>
      </w:r>
      <w:r w:rsidRPr="00961950">
        <w:rPr>
          <w:rFonts w:ascii="Times New Roman" w:hAnsi="Times New Roman"/>
          <w:sz w:val="24"/>
          <w:szCs w:val="24"/>
          <w:vertAlign w:val="superscript"/>
        </w:rPr>
        <w:t>13</w:t>
      </w:r>
      <w:r w:rsidRPr="00961950">
        <w:rPr>
          <w:rFonts w:ascii="Times New Roman" w:hAnsi="Times New Roman"/>
          <w:sz w:val="24"/>
          <w:szCs w:val="24"/>
        </w:rPr>
        <w:t xml:space="preserve">C data </w:t>
      </w:r>
      <w:r>
        <w:rPr>
          <w:rFonts w:ascii="Times New Roman" w:hAnsi="Times New Roman"/>
          <w:sz w:val="24"/>
          <w:szCs w:val="24"/>
        </w:rPr>
        <w:t>are</w:t>
      </w:r>
      <w:r w:rsidRPr="00961950">
        <w:rPr>
          <w:rFonts w:ascii="Times New Roman" w:hAnsi="Times New Roman"/>
          <w:sz w:val="24"/>
          <w:szCs w:val="24"/>
        </w:rPr>
        <w:t xml:space="preserve"> from the GLODAP data compilation </w:t>
      </w:r>
      <w:r w:rsidRPr="00961950">
        <w:rPr>
          <w:rFonts w:ascii="Times New Roman" w:hAnsi="Times New Roman"/>
          <w:noProof/>
          <w:sz w:val="24"/>
          <w:szCs w:val="24"/>
        </w:rPr>
        <w:t>(Key et al., 2004)</w:t>
      </w:r>
      <w:r w:rsidR="005F0C90">
        <w:rPr>
          <w:rFonts w:ascii="Times New Roman" w:hAnsi="Times New Roman"/>
          <w:sz w:val="24"/>
          <w:szCs w:val="24"/>
        </w:rPr>
        <w:t xml:space="preserve">; (c) </w:t>
      </w:r>
      <w:r w:rsidR="005F0C90" w:rsidRPr="00961950">
        <w:rPr>
          <w:rFonts w:ascii="Times New Roman" w:hAnsi="Times New Roman"/>
          <w:sz w:val="24"/>
          <w:szCs w:val="24"/>
        </w:rPr>
        <w:t>pH and δ</w:t>
      </w:r>
      <w:r w:rsidR="005F0C90" w:rsidRPr="00961950">
        <w:rPr>
          <w:rFonts w:ascii="Times New Roman" w:hAnsi="Times New Roman"/>
          <w:sz w:val="24"/>
          <w:szCs w:val="24"/>
          <w:vertAlign w:val="superscript"/>
        </w:rPr>
        <w:t>13</w:t>
      </w:r>
      <w:r w:rsidR="005F0C90" w:rsidRPr="00961950">
        <w:rPr>
          <w:rFonts w:ascii="Times New Roman" w:hAnsi="Times New Roman"/>
          <w:sz w:val="24"/>
          <w:szCs w:val="24"/>
        </w:rPr>
        <w:t>C</w:t>
      </w:r>
      <w:r w:rsidR="005F0C90" w:rsidRPr="00961950">
        <w:rPr>
          <w:rFonts w:ascii="Times New Roman" w:hAnsi="Times New Roman"/>
          <w:sz w:val="24"/>
          <w:szCs w:val="24"/>
          <w:vertAlign w:val="subscript"/>
        </w:rPr>
        <w:t>DIC</w:t>
      </w:r>
      <w:r w:rsidR="005F0C90" w:rsidRPr="00961950">
        <w:rPr>
          <w:rFonts w:ascii="Times New Roman" w:hAnsi="Times New Roman"/>
          <w:sz w:val="24"/>
          <w:szCs w:val="24"/>
        </w:rPr>
        <w:t xml:space="preserve"> relationships in the modern ocean adapted from Foster et al., (2012). </w:t>
      </w:r>
      <w:r w:rsidR="00E2599A">
        <w:rPr>
          <w:rFonts w:ascii="Times New Roman" w:hAnsi="Times New Roman"/>
          <w:sz w:val="24"/>
          <w:szCs w:val="24"/>
        </w:rPr>
        <w:t>Data are from all the ocean basins spanning approximately 40</w:t>
      </w:r>
      <w:r w:rsidR="00E2599A">
        <w:rPr>
          <w:rFonts w:ascii="Times New Roman" w:hAnsi="Times New Roman"/>
          <w:sz w:val="24"/>
          <w:szCs w:val="24"/>
          <w:vertAlign w:val="superscript"/>
        </w:rPr>
        <w:t>o</w:t>
      </w:r>
      <w:r w:rsidR="00E2599A">
        <w:rPr>
          <w:rFonts w:ascii="Times New Roman" w:hAnsi="Times New Roman"/>
          <w:sz w:val="24"/>
          <w:szCs w:val="24"/>
        </w:rPr>
        <w:t>N to 40</w:t>
      </w:r>
      <w:r w:rsidR="00E2599A">
        <w:rPr>
          <w:rFonts w:ascii="Times New Roman" w:hAnsi="Times New Roman"/>
          <w:sz w:val="24"/>
          <w:szCs w:val="24"/>
          <w:vertAlign w:val="superscript"/>
        </w:rPr>
        <w:t>o</w:t>
      </w:r>
      <w:r w:rsidR="00E2599A">
        <w:rPr>
          <w:rFonts w:ascii="Times New Roman" w:hAnsi="Times New Roman"/>
          <w:sz w:val="24"/>
          <w:szCs w:val="24"/>
        </w:rPr>
        <w:t xml:space="preserve">S. </w:t>
      </w:r>
      <w:r w:rsidR="005F0C90" w:rsidRPr="00961950">
        <w:rPr>
          <w:rFonts w:ascii="Times New Roman" w:hAnsi="Times New Roman"/>
          <w:sz w:val="24"/>
          <w:szCs w:val="24"/>
        </w:rPr>
        <w:t>Because of anthropogenic acidification and the Su</w:t>
      </w:r>
      <w:r w:rsidR="00326D0D">
        <w:rPr>
          <w:rFonts w:ascii="Times New Roman" w:hAnsi="Times New Roman"/>
          <w:sz w:val="24"/>
          <w:szCs w:val="24"/>
        </w:rPr>
        <w:t>e</w:t>
      </w:r>
      <w:r w:rsidR="005F0C90" w:rsidRPr="00961950">
        <w:rPr>
          <w:rFonts w:ascii="Times New Roman" w:hAnsi="Times New Roman"/>
          <w:sz w:val="24"/>
          <w:szCs w:val="24"/>
        </w:rPr>
        <w:t xml:space="preserve">ss effect only data from &gt;1500 m are plotted. Also </w:t>
      </w:r>
      <w:r w:rsidR="005F0C90">
        <w:rPr>
          <w:rFonts w:ascii="Times New Roman" w:hAnsi="Times New Roman"/>
          <w:sz w:val="24"/>
          <w:szCs w:val="24"/>
        </w:rPr>
        <w:t>included in the plot</w:t>
      </w:r>
      <w:r w:rsidR="005F0C90" w:rsidRPr="00961950">
        <w:rPr>
          <w:rFonts w:ascii="Times New Roman" w:hAnsi="Times New Roman"/>
          <w:sz w:val="24"/>
          <w:szCs w:val="24"/>
        </w:rPr>
        <w:t xml:space="preserve"> are the data from a transect in the North Atlantic (from 0 to 5000 m) where the effects of </w:t>
      </w:r>
      <w:r w:rsidR="005F0C90" w:rsidRPr="005776A4">
        <w:rPr>
          <w:rFonts w:ascii="Times New Roman" w:hAnsi="Times New Roman"/>
          <w:sz w:val="24"/>
          <w:szCs w:val="24"/>
        </w:rPr>
        <w:t>anthropogenic perturbation on both parameters have been corrected</w:t>
      </w:r>
      <w:r w:rsidR="005776A4" w:rsidRPr="005776A4">
        <w:rPr>
          <w:rFonts w:ascii="Times New Roman" w:hAnsi="Times New Roman"/>
          <w:sz w:val="24"/>
          <w:szCs w:val="24"/>
        </w:rPr>
        <w:t xml:space="preserve"> (Olsen and </w:t>
      </w:r>
      <w:r w:rsidR="005776A4" w:rsidRPr="005776A4">
        <w:rPr>
          <w:rFonts w:ascii="Times New Roman" w:eastAsiaTheme="minorEastAsia" w:hAnsi="Times New Roman"/>
          <w:sz w:val="24"/>
          <w:szCs w:val="24"/>
          <w:lang w:val="en-US" w:eastAsia="ja-JP"/>
        </w:rPr>
        <w:t>Ninneman</w:t>
      </w:r>
      <w:r w:rsidR="005776A4" w:rsidRPr="005776A4">
        <w:rPr>
          <w:rFonts w:ascii="Times New Roman" w:hAnsi="Times New Roman"/>
          <w:sz w:val="24"/>
          <w:szCs w:val="24"/>
        </w:rPr>
        <w:t>, 2010)</w:t>
      </w:r>
      <w:r w:rsidR="005F0C90" w:rsidRPr="005776A4">
        <w:rPr>
          <w:rFonts w:ascii="Times New Roman" w:hAnsi="Times New Roman"/>
          <w:sz w:val="24"/>
          <w:szCs w:val="24"/>
        </w:rPr>
        <w:t>.</w:t>
      </w:r>
    </w:p>
    <w:p w14:paraId="4A22C234" w14:textId="2480CB26" w:rsidR="00B14828" w:rsidRPr="006A4D57" w:rsidRDefault="00B14828" w:rsidP="00CF6B1E">
      <w:pPr>
        <w:widowControl w:val="0"/>
        <w:autoSpaceDE w:val="0"/>
        <w:autoSpaceDN w:val="0"/>
        <w:adjustRightInd w:val="0"/>
        <w:rPr>
          <w:rFonts w:ascii="Times New Roman" w:hAnsi="Times New Roman"/>
          <w:sz w:val="28"/>
          <w:szCs w:val="28"/>
        </w:rPr>
      </w:pPr>
      <w:r w:rsidRPr="00961950">
        <w:rPr>
          <w:rFonts w:ascii="Times New Roman" w:hAnsi="Times New Roman"/>
        </w:rPr>
        <w:t xml:space="preserve">Figure </w:t>
      </w:r>
      <w:r w:rsidR="00321545">
        <w:rPr>
          <w:rFonts w:ascii="Times New Roman" w:hAnsi="Times New Roman"/>
        </w:rPr>
        <w:t>6</w:t>
      </w:r>
      <w:r w:rsidRPr="00961950">
        <w:rPr>
          <w:rFonts w:ascii="Times New Roman" w:hAnsi="Times New Roman"/>
        </w:rPr>
        <w:t xml:space="preserve">: </w:t>
      </w:r>
      <w:r w:rsidR="00321545" w:rsidRPr="00961950">
        <w:rPr>
          <w:rFonts w:ascii="Times New Roman" w:hAnsi="Times New Roman"/>
        </w:rPr>
        <w:t>δ</w:t>
      </w:r>
      <w:r w:rsidR="00321545" w:rsidRPr="00961950">
        <w:rPr>
          <w:rFonts w:ascii="Times New Roman" w:hAnsi="Times New Roman"/>
          <w:vertAlign w:val="superscript"/>
        </w:rPr>
        <w:t>11</w:t>
      </w:r>
      <w:r w:rsidR="00321545" w:rsidRPr="00961950">
        <w:rPr>
          <w:rFonts w:ascii="Times New Roman" w:hAnsi="Times New Roman"/>
        </w:rPr>
        <w:t>B</w:t>
      </w:r>
      <w:r w:rsidR="00321545">
        <w:rPr>
          <w:rFonts w:ascii="Times New Roman" w:hAnsi="Times New Roman"/>
          <w:vertAlign w:val="subscript"/>
        </w:rPr>
        <w:t>planktic</w:t>
      </w:r>
      <w:r w:rsidR="005776A4" w:rsidRPr="00961950">
        <w:rPr>
          <w:rFonts w:ascii="Times New Roman" w:hAnsi="Times New Roman"/>
        </w:rPr>
        <w:t>, temperature and δ</w:t>
      </w:r>
      <w:r w:rsidR="005776A4" w:rsidRPr="00961950">
        <w:rPr>
          <w:rFonts w:ascii="Times New Roman" w:hAnsi="Times New Roman"/>
          <w:vertAlign w:val="superscript"/>
        </w:rPr>
        <w:t>13</w:t>
      </w:r>
      <w:r w:rsidR="005776A4" w:rsidRPr="00961950">
        <w:rPr>
          <w:rFonts w:ascii="Times New Roman" w:hAnsi="Times New Roman"/>
        </w:rPr>
        <w:t>C</w:t>
      </w:r>
      <w:r w:rsidR="005776A4" w:rsidRPr="00961950">
        <w:rPr>
          <w:rFonts w:ascii="Times New Roman" w:hAnsi="Times New Roman"/>
          <w:vertAlign w:val="subscript"/>
        </w:rPr>
        <w:t>DIC</w:t>
      </w:r>
      <w:r w:rsidR="005776A4" w:rsidRPr="00961950">
        <w:rPr>
          <w:rFonts w:ascii="Times New Roman" w:hAnsi="Times New Roman"/>
        </w:rPr>
        <w:t xml:space="preserve"> estimates for </w:t>
      </w:r>
      <w:r w:rsidR="005776A4">
        <w:rPr>
          <w:rFonts w:ascii="Times New Roman" w:hAnsi="Times New Roman"/>
        </w:rPr>
        <w:t xml:space="preserve">the </w:t>
      </w:r>
      <w:r w:rsidR="005776A4" w:rsidRPr="00961950">
        <w:rPr>
          <w:rFonts w:ascii="Times New Roman" w:hAnsi="Times New Roman"/>
        </w:rPr>
        <w:t xml:space="preserve">surface and deep </w:t>
      </w:r>
      <w:r w:rsidR="005776A4">
        <w:rPr>
          <w:rFonts w:ascii="Times New Roman" w:hAnsi="Times New Roman"/>
        </w:rPr>
        <w:t>ocean through the last 23 million years.</w:t>
      </w:r>
      <w:r w:rsidR="005776A4" w:rsidRPr="00961950">
        <w:rPr>
          <w:rFonts w:ascii="Times New Roman" w:hAnsi="Times New Roman"/>
        </w:rPr>
        <w:t xml:space="preserve"> </w:t>
      </w:r>
      <w:r w:rsidRPr="00961950">
        <w:rPr>
          <w:rFonts w:ascii="Times New Roman" w:hAnsi="Times New Roman"/>
        </w:rPr>
        <w:t xml:space="preserve">(a) </w:t>
      </w:r>
      <w:r w:rsidR="00321545" w:rsidRPr="00961950">
        <w:rPr>
          <w:rFonts w:ascii="Times New Roman" w:hAnsi="Times New Roman"/>
        </w:rPr>
        <w:t>δ</w:t>
      </w:r>
      <w:r w:rsidR="00321545" w:rsidRPr="00961950">
        <w:rPr>
          <w:rFonts w:ascii="Times New Roman" w:hAnsi="Times New Roman"/>
          <w:vertAlign w:val="superscript"/>
        </w:rPr>
        <w:t>11</w:t>
      </w:r>
      <w:r w:rsidR="00321545" w:rsidRPr="00961950">
        <w:rPr>
          <w:rFonts w:ascii="Times New Roman" w:hAnsi="Times New Roman"/>
        </w:rPr>
        <w:t>B</w:t>
      </w:r>
      <w:r w:rsidR="00321545">
        <w:rPr>
          <w:rFonts w:ascii="Times New Roman" w:hAnsi="Times New Roman"/>
          <w:vertAlign w:val="subscript"/>
        </w:rPr>
        <w:t>planktic</w:t>
      </w:r>
      <w:r w:rsidR="00321545" w:rsidRPr="00961950">
        <w:rPr>
          <w:rFonts w:ascii="Times New Roman" w:hAnsi="Times New Roman"/>
        </w:rPr>
        <w:t xml:space="preserve"> </w:t>
      </w:r>
      <w:r w:rsidRPr="00961950">
        <w:rPr>
          <w:rFonts w:ascii="Times New Roman" w:hAnsi="Times New Roman"/>
        </w:rPr>
        <w:t>surface</w:t>
      </w:r>
      <w:r w:rsidR="00FC65AA">
        <w:rPr>
          <w:rFonts w:ascii="Times New Roman" w:hAnsi="Times New Roman"/>
        </w:rPr>
        <w:t>;</w:t>
      </w:r>
      <w:r w:rsidRPr="00961950">
        <w:rPr>
          <w:rFonts w:ascii="Times New Roman" w:hAnsi="Times New Roman"/>
        </w:rPr>
        <w:t xml:space="preserve"> (b) δ</w:t>
      </w:r>
      <w:r w:rsidRPr="00961950">
        <w:rPr>
          <w:rFonts w:ascii="Times New Roman" w:hAnsi="Times New Roman"/>
          <w:vertAlign w:val="superscript"/>
        </w:rPr>
        <w:t>11</w:t>
      </w:r>
      <w:r w:rsidRPr="00961950">
        <w:rPr>
          <w:rFonts w:ascii="Times New Roman" w:hAnsi="Times New Roman"/>
        </w:rPr>
        <w:t>B</w:t>
      </w:r>
      <w:r w:rsidRPr="00961950">
        <w:rPr>
          <w:rFonts w:ascii="Times New Roman" w:hAnsi="Times New Roman"/>
          <w:vertAlign w:val="subscript"/>
        </w:rPr>
        <w:t>borate</w:t>
      </w:r>
      <w:r w:rsidRPr="00961950">
        <w:rPr>
          <w:rFonts w:ascii="Times New Roman" w:hAnsi="Times New Roman"/>
        </w:rPr>
        <w:t xml:space="preserve"> </w:t>
      </w:r>
      <w:r w:rsidR="00B97592">
        <w:rPr>
          <w:rFonts w:ascii="Times New Roman" w:hAnsi="Times New Roman"/>
        </w:rPr>
        <w:t xml:space="preserve">deep from benthic foraminifera </w:t>
      </w:r>
      <w:r w:rsidRPr="00961950">
        <w:rPr>
          <w:rFonts w:ascii="Times New Roman" w:hAnsi="Times New Roman"/>
        </w:rPr>
        <w:t>(blu</w:t>
      </w:r>
      <w:r w:rsidR="001E2047">
        <w:rPr>
          <w:rFonts w:ascii="Times New Roman" w:hAnsi="Times New Roman"/>
        </w:rPr>
        <w:t xml:space="preserve">e) from this study and (green) </w:t>
      </w:r>
      <w:r w:rsidRPr="00961950">
        <w:rPr>
          <w:rFonts w:ascii="Times New Roman" w:hAnsi="Times New Roman"/>
        </w:rPr>
        <w:t xml:space="preserve">Raitzsch and </w:t>
      </w:r>
      <w:r w:rsidR="001E2047">
        <w:rPr>
          <w:rFonts w:ascii="Times New Roman" w:hAnsi="Times New Roman"/>
        </w:rPr>
        <w:t>Hönisch</w:t>
      </w:r>
      <w:r w:rsidRPr="00961950">
        <w:rPr>
          <w:rFonts w:ascii="Times New Roman" w:hAnsi="Times New Roman"/>
        </w:rPr>
        <w:t xml:space="preserve">, </w:t>
      </w:r>
      <w:r w:rsidR="001E2047">
        <w:rPr>
          <w:rFonts w:ascii="Times New Roman" w:hAnsi="Times New Roman"/>
        </w:rPr>
        <w:t>(</w:t>
      </w:r>
      <w:r w:rsidRPr="00961950">
        <w:rPr>
          <w:rFonts w:ascii="Times New Roman" w:hAnsi="Times New Roman"/>
        </w:rPr>
        <w:t xml:space="preserve">2013). </w:t>
      </w:r>
      <w:r w:rsidR="005776A4" w:rsidRPr="00562228">
        <w:rPr>
          <w:rFonts w:ascii="Times New Roman" w:hAnsi="Times New Roman"/>
        </w:rPr>
        <w:t>T</w:t>
      </w:r>
      <w:r w:rsidRPr="00562228">
        <w:rPr>
          <w:rFonts w:ascii="Times New Roman" w:hAnsi="Times New Roman"/>
        </w:rPr>
        <w:t>he error bars show the</w:t>
      </w:r>
      <w:r w:rsidR="005776A4" w:rsidRPr="00562228">
        <w:rPr>
          <w:rFonts w:ascii="Times New Roman" w:hAnsi="Times New Roman"/>
        </w:rPr>
        <w:t xml:space="preserve"> analytical</w:t>
      </w:r>
      <w:r w:rsidRPr="00562228">
        <w:rPr>
          <w:rFonts w:ascii="Times New Roman" w:hAnsi="Times New Roman"/>
        </w:rPr>
        <w:t xml:space="preserve"> external reproducibility at 95% confidence</w:t>
      </w:r>
      <w:r w:rsidR="00562228" w:rsidRPr="00562228">
        <w:rPr>
          <w:rFonts w:ascii="Times New Roman" w:hAnsi="Times New Roman"/>
        </w:rPr>
        <w:t xml:space="preserve"> for this study. For </w:t>
      </w:r>
      <w:r w:rsidR="00562228">
        <w:rPr>
          <w:rFonts w:ascii="Times New Roman" w:hAnsi="Times New Roman"/>
        </w:rPr>
        <w:t xml:space="preserve">the </w:t>
      </w:r>
      <w:r w:rsidR="00562228" w:rsidRPr="00562228">
        <w:rPr>
          <w:rFonts w:ascii="Times New Roman" w:hAnsi="Times New Roman"/>
        </w:rPr>
        <w:t>Raitzch &amp; Hönisch (2013)</w:t>
      </w:r>
      <w:r w:rsidR="00562228">
        <w:rPr>
          <w:rFonts w:ascii="Times New Roman" w:hAnsi="Times New Roman"/>
        </w:rPr>
        <w:t xml:space="preserve"> data</w:t>
      </w:r>
      <w:r w:rsidR="00562228" w:rsidRPr="00562228">
        <w:rPr>
          <w:rFonts w:ascii="Times New Roman" w:hAnsi="Times New Roman"/>
        </w:rPr>
        <w:t xml:space="preserve"> the error bars represent propagated uncertainties of external reproducibilities of time equivalent benthic foraminifer samples from different core </w:t>
      </w:r>
      <w:r w:rsidR="00562228">
        <w:rPr>
          <w:rFonts w:ascii="Times New Roman" w:hAnsi="Times New Roman"/>
        </w:rPr>
        <w:t>sites in different ocean basins</w:t>
      </w:r>
      <w:r w:rsidR="00FC65AA">
        <w:rPr>
          <w:rFonts w:ascii="Times New Roman" w:hAnsi="Times New Roman"/>
        </w:rPr>
        <w:t>;</w:t>
      </w:r>
      <w:r w:rsidRPr="00961950">
        <w:rPr>
          <w:rFonts w:ascii="Times New Roman" w:hAnsi="Times New Roman"/>
        </w:rPr>
        <w:t xml:space="preserve">  (</w:t>
      </w:r>
      <w:r w:rsidR="00FC65AA">
        <w:rPr>
          <w:rFonts w:ascii="Times New Roman" w:hAnsi="Times New Roman"/>
        </w:rPr>
        <w:t>c</w:t>
      </w:r>
      <w:r w:rsidRPr="00961950">
        <w:rPr>
          <w:rFonts w:ascii="Times New Roman" w:hAnsi="Times New Roman"/>
        </w:rPr>
        <w:t>) Mg/Ca based temperature reconstructions of surface dwelling planktic</w:t>
      </w:r>
      <w:r>
        <w:rPr>
          <w:rFonts w:ascii="Times New Roman" w:hAnsi="Times New Roman"/>
        </w:rPr>
        <w:t xml:space="preserve"> foraminifera</w:t>
      </w:r>
      <w:r w:rsidR="00FC65AA">
        <w:rPr>
          <w:rFonts w:ascii="Times New Roman" w:hAnsi="Times New Roman"/>
        </w:rPr>
        <w:t>;</w:t>
      </w:r>
      <w:r w:rsidRPr="00961950">
        <w:rPr>
          <w:rFonts w:ascii="Times New Roman" w:hAnsi="Times New Roman"/>
        </w:rPr>
        <w:t xml:space="preserve"> (</w:t>
      </w:r>
      <w:r w:rsidR="00FC65AA">
        <w:rPr>
          <w:rFonts w:ascii="Times New Roman" w:hAnsi="Times New Roman"/>
        </w:rPr>
        <w:t>d</w:t>
      </w:r>
      <w:r w:rsidRPr="00961950">
        <w:rPr>
          <w:rFonts w:ascii="Times New Roman" w:hAnsi="Times New Roman"/>
        </w:rPr>
        <w:t xml:space="preserve">) Deep water temperature estimates from </w:t>
      </w:r>
      <w:r w:rsidR="001E2047">
        <w:rPr>
          <w:rFonts w:ascii="Times New Roman" w:hAnsi="Times New Roman"/>
          <w:noProof/>
        </w:rPr>
        <w:t>Cramer et al.</w:t>
      </w:r>
      <w:r w:rsidRPr="00961950">
        <w:rPr>
          <w:rFonts w:ascii="Times New Roman" w:hAnsi="Times New Roman"/>
          <w:noProof/>
        </w:rPr>
        <w:t xml:space="preserve"> </w:t>
      </w:r>
      <w:r>
        <w:rPr>
          <w:rFonts w:ascii="Times New Roman" w:hAnsi="Times New Roman"/>
          <w:noProof/>
        </w:rPr>
        <w:t>(</w:t>
      </w:r>
      <w:r w:rsidRPr="00961950">
        <w:rPr>
          <w:rFonts w:ascii="Times New Roman" w:hAnsi="Times New Roman"/>
          <w:noProof/>
        </w:rPr>
        <w:t>2011)</w:t>
      </w:r>
      <w:r w:rsidR="00FC65AA">
        <w:rPr>
          <w:rFonts w:ascii="Times New Roman" w:hAnsi="Times New Roman"/>
        </w:rPr>
        <w:t>;</w:t>
      </w:r>
      <w:r w:rsidRPr="00961950">
        <w:rPr>
          <w:rFonts w:ascii="Times New Roman" w:hAnsi="Times New Roman"/>
        </w:rPr>
        <w:t xml:space="preserve"> (</w:t>
      </w:r>
      <w:r w:rsidR="00FC65AA">
        <w:rPr>
          <w:rFonts w:ascii="Times New Roman" w:hAnsi="Times New Roman"/>
        </w:rPr>
        <w:t>e</w:t>
      </w:r>
      <w:r w:rsidRPr="00961950">
        <w:rPr>
          <w:rFonts w:ascii="Times New Roman" w:hAnsi="Times New Roman"/>
        </w:rPr>
        <w:t>) δ</w:t>
      </w:r>
      <w:r w:rsidRPr="00961950">
        <w:rPr>
          <w:rFonts w:ascii="Times New Roman" w:hAnsi="Times New Roman"/>
          <w:vertAlign w:val="superscript"/>
        </w:rPr>
        <w:t>13</w:t>
      </w:r>
      <w:r w:rsidRPr="00961950">
        <w:rPr>
          <w:rFonts w:ascii="Times New Roman" w:hAnsi="Times New Roman"/>
        </w:rPr>
        <w:t>C</w:t>
      </w:r>
      <w:r w:rsidRPr="00961950">
        <w:rPr>
          <w:rFonts w:ascii="Times New Roman" w:hAnsi="Times New Roman"/>
          <w:vertAlign w:val="subscript"/>
        </w:rPr>
        <w:t>DIC</w:t>
      </w:r>
      <w:r w:rsidRPr="00961950">
        <w:rPr>
          <w:rFonts w:ascii="Times New Roman" w:hAnsi="Times New Roman"/>
        </w:rPr>
        <w:t xml:space="preserve"> surface record</w:t>
      </w:r>
      <w:r w:rsidR="00FC65AA">
        <w:rPr>
          <w:rFonts w:ascii="Times New Roman" w:hAnsi="Times New Roman"/>
        </w:rPr>
        <w:t>;</w:t>
      </w:r>
      <w:r w:rsidRPr="00961950">
        <w:rPr>
          <w:rFonts w:ascii="Times New Roman" w:hAnsi="Times New Roman"/>
        </w:rPr>
        <w:t xml:space="preserve"> (</w:t>
      </w:r>
      <w:r w:rsidR="00FC65AA">
        <w:rPr>
          <w:rFonts w:ascii="Times New Roman" w:hAnsi="Times New Roman"/>
        </w:rPr>
        <w:t>f</w:t>
      </w:r>
      <w:r w:rsidRPr="00961950">
        <w:rPr>
          <w:rFonts w:ascii="Times New Roman" w:hAnsi="Times New Roman"/>
        </w:rPr>
        <w:t>) δ</w:t>
      </w:r>
      <w:r w:rsidRPr="00961950">
        <w:rPr>
          <w:rFonts w:ascii="Times New Roman" w:hAnsi="Times New Roman"/>
          <w:vertAlign w:val="superscript"/>
        </w:rPr>
        <w:t>13</w:t>
      </w:r>
      <w:r w:rsidRPr="00961950">
        <w:rPr>
          <w:rFonts w:ascii="Times New Roman" w:hAnsi="Times New Roman"/>
        </w:rPr>
        <w:t>C</w:t>
      </w:r>
      <w:r w:rsidRPr="00961950">
        <w:rPr>
          <w:rFonts w:ascii="Times New Roman" w:hAnsi="Times New Roman"/>
          <w:vertAlign w:val="subscript"/>
        </w:rPr>
        <w:t>DIC</w:t>
      </w:r>
      <w:r w:rsidRPr="00961950">
        <w:rPr>
          <w:rFonts w:ascii="Times New Roman" w:hAnsi="Times New Roman"/>
        </w:rPr>
        <w:t xml:space="preserve"> benthic record. Squares depict </w:t>
      </w:r>
      <w:r>
        <w:rPr>
          <w:rFonts w:ascii="Times New Roman" w:hAnsi="Times New Roman"/>
        </w:rPr>
        <w:t xml:space="preserve">ODP </w:t>
      </w:r>
      <w:r w:rsidRPr="00961950">
        <w:rPr>
          <w:rFonts w:ascii="Times New Roman" w:hAnsi="Times New Roman"/>
        </w:rPr>
        <w:t xml:space="preserve">Site 999, triangles are </w:t>
      </w:r>
      <w:r>
        <w:rPr>
          <w:rFonts w:ascii="Times New Roman" w:hAnsi="Times New Roman"/>
        </w:rPr>
        <w:t xml:space="preserve">ODP </w:t>
      </w:r>
      <w:r w:rsidRPr="00961950">
        <w:rPr>
          <w:rFonts w:ascii="Times New Roman" w:hAnsi="Times New Roman"/>
        </w:rPr>
        <w:t xml:space="preserve">Site 758, diamonds are </w:t>
      </w:r>
      <w:r>
        <w:rPr>
          <w:rFonts w:ascii="Times New Roman" w:hAnsi="Times New Roman"/>
        </w:rPr>
        <w:t xml:space="preserve">ODP </w:t>
      </w:r>
      <w:r w:rsidRPr="00961950">
        <w:rPr>
          <w:rFonts w:ascii="Times New Roman" w:hAnsi="Times New Roman"/>
        </w:rPr>
        <w:t xml:space="preserve">Site 926, circles are </w:t>
      </w:r>
      <w:r>
        <w:rPr>
          <w:rFonts w:ascii="Times New Roman" w:hAnsi="Times New Roman"/>
        </w:rPr>
        <w:t xml:space="preserve">ODP </w:t>
      </w:r>
      <w:r w:rsidRPr="00961950">
        <w:rPr>
          <w:rFonts w:ascii="Times New Roman" w:hAnsi="Times New Roman"/>
        </w:rPr>
        <w:t>Site 761.</w:t>
      </w:r>
      <w:r w:rsidR="00B91062">
        <w:rPr>
          <w:rFonts w:ascii="Times New Roman" w:hAnsi="Times New Roman"/>
        </w:rPr>
        <w:t xml:space="preserve"> </w:t>
      </w:r>
      <w:r w:rsidR="00B91062" w:rsidRPr="0057576D">
        <w:t xml:space="preserve">Species are highlighted by colour: Orange are </w:t>
      </w:r>
      <w:r w:rsidR="00B91062" w:rsidRPr="0057576D">
        <w:rPr>
          <w:i/>
        </w:rPr>
        <w:t>T. trilobus</w:t>
      </w:r>
      <w:r w:rsidR="00B91062" w:rsidRPr="0057576D">
        <w:t xml:space="preserve">, purple </w:t>
      </w:r>
      <w:r w:rsidR="00B91062" w:rsidRPr="0057576D">
        <w:rPr>
          <w:i/>
        </w:rPr>
        <w:t>G. ruber</w:t>
      </w:r>
      <w:r w:rsidR="00B91062" w:rsidRPr="0057576D">
        <w:t xml:space="preserve">, </w:t>
      </w:r>
      <w:r w:rsidR="007B725B">
        <w:t>pink</w:t>
      </w:r>
      <w:r w:rsidR="007B725B" w:rsidRPr="0057576D">
        <w:t xml:space="preserve"> </w:t>
      </w:r>
      <w:r w:rsidR="00B91062" w:rsidRPr="0057576D">
        <w:rPr>
          <w:i/>
        </w:rPr>
        <w:t>G. praebulloides</w:t>
      </w:r>
      <w:r w:rsidR="00B91062" w:rsidRPr="0057576D">
        <w:t xml:space="preserve">, dark blue </w:t>
      </w:r>
      <w:r w:rsidR="00B91062" w:rsidRPr="0057576D">
        <w:rPr>
          <w:i/>
        </w:rPr>
        <w:t xml:space="preserve">Cibicidoides </w:t>
      </w:r>
      <w:r w:rsidR="00A32BE2">
        <w:rPr>
          <w:i/>
        </w:rPr>
        <w:t xml:space="preserve">wuellerstorfi </w:t>
      </w:r>
      <w:r w:rsidR="00B91062" w:rsidRPr="00B91062">
        <w:t>and light blue</w:t>
      </w:r>
      <w:r w:rsidR="00B91062" w:rsidRPr="0057576D">
        <w:t xml:space="preserve"> </w:t>
      </w:r>
      <w:r w:rsidR="00B91062" w:rsidRPr="0057576D">
        <w:rPr>
          <w:i/>
        </w:rPr>
        <w:t>Cibicidoides mundulus</w:t>
      </w:r>
      <w:r w:rsidR="004626D2">
        <w:t>. The two benthic-planktic pairs that were removed prior to smoothing are highlighted with arrows.</w:t>
      </w:r>
      <w:r w:rsidR="00B91062">
        <w:rPr>
          <w:rFonts w:ascii="Times New Roman" w:hAnsi="Times New Roman"/>
        </w:rPr>
        <w:t xml:space="preserve">  </w:t>
      </w:r>
    </w:p>
    <w:p w14:paraId="4E97BFF4" w14:textId="6DC77BAD" w:rsidR="00E37466" w:rsidRDefault="00E37466" w:rsidP="00E37466">
      <w:pPr>
        <w:rPr>
          <w:rFonts w:ascii="Times New Roman" w:hAnsi="Times New Roman"/>
        </w:rPr>
      </w:pPr>
      <w:r>
        <w:t xml:space="preserve">Figure </w:t>
      </w:r>
      <w:r w:rsidR="00321545">
        <w:t>7</w:t>
      </w:r>
      <w:r>
        <w:t xml:space="preserve">: </w:t>
      </w:r>
      <w:r w:rsidRPr="00961950">
        <w:rPr>
          <w:rFonts w:ascii="Times New Roman" w:hAnsi="Times New Roman"/>
        </w:rPr>
        <w:t xml:space="preserve">The output from </w:t>
      </w:r>
      <w:r w:rsidR="0057576D">
        <w:rPr>
          <w:rFonts w:ascii="Times New Roman" w:hAnsi="Times New Roman"/>
        </w:rPr>
        <w:t xml:space="preserve">GENIE </w:t>
      </w:r>
      <w:r w:rsidRPr="00961950">
        <w:rPr>
          <w:rFonts w:ascii="Times New Roman" w:hAnsi="Times New Roman"/>
        </w:rPr>
        <w:t xml:space="preserve">sensitivity </w:t>
      </w:r>
      <w:r w:rsidRPr="004540CF">
        <w:rPr>
          <w:rFonts w:ascii="Times New Roman" w:hAnsi="Times New Roman"/>
        </w:rPr>
        <w:t>analysis</w:t>
      </w:r>
      <w:r w:rsidR="004540CF" w:rsidRPr="004540CF">
        <w:rPr>
          <w:rFonts w:ascii="Times New Roman" w:hAnsi="Times New Roman"/>
        </w:rPr>
        <w:t xml:space="preserve"> </w:t>
      </w:r>
      <w:r w:rsidR="0057576D">
        <w:rPr>
          <w:rFonts w:ascii="Times New Roman" w:hAnsi="Times New Roman"/>
        </w:rPr>
        <w:t>showing</w:t>
      </w:r>
      <w:r w:rsidR="009B0954">
        <w:rPr>
          <w:rFonts w:ascii="Times New Roman" w:hAnsi="Times New Roman"/>
        </w:rPr>
        <w:t xml:space="preserve"> the</w:t>
      </w:r>
      <w:r w:rsidR="0057576D">
        <w:rPr>
          <w:rFonts w:ascii="Times New Roman" w:hAnsi="Times New Roman"/>
        </w:rPr>
        <w:t xml:space="preserve"> </w:t>
      </w:r>
      <w:r w:rsidR="0057576D">
        <w:rPr>
          <w:color w:val="000000"/>
          <w:szCs w:val="18"/>
        </w:rPr>
        <w:t>warm-surface-to-cold-deep ∆pH</w:t>
      </w:r>
      <w:r w:rsidR="0057576D">
        <w:rPr>
          <w:rStyle w:val="st"/>
        </w:rPr>
        <w:t>-to-</w:t>
      </w:r>
      <w:r w:rsidR="0057576D">
        <w:rPr>
          <w:color w:val="000000"/>
          <w:szCs w:val="18"/>
        </w:rPr>
        <w:t>∆</w:t>
      </w:r>
      <w:r w:rsidR="0057576D" w:rsidRPr="00D20154">
        <w:rPr>
          <w:color w:val="000000"/>
          <w:szCs w:val="18"/>
        </w:rPr>
        <w:t>δ</w:t>
      </w:r>
      <w:r w:rsidR="0057576D" w:rsidRPr="00980136">
        <w:rPr>
          <w:color w:val="000000"/>
          <w:szCs w:val="12"/>
          <w:vertAlign w:val="superscript"/>
        </w:rPr>
        <w:t>1</w:t>
      </w:r>
      <w:r w:rsidR="0057576D">
        <w:rPr>
          <w:color w:val="000000"/>
          <w:szCs w:val="12"/>
          <w:vertAlign w:val="superscript"/>
        </w:rPr>
        <w:t>3</w:t>
      </w:r>
      <w:r w:rsidR="0057576D">
        <w:rPr>
          <w:color w:val="000000"/>
          <w:szCs w:val="18"/>
        </w:rPr>
        <w:t>C relationship</w:t>
      </w:r>
      <w:r w:rsidRPr="004540CF">
        <w:rPr>
          <w:rFonts w:ascii="Times New Roman" w:hAnsi="Times New Roman"/>
        </w:rPr>
        <w:t>.</w:t>
      </w:r>
      <w:r w:rsidR="0057576D">
        <w:rPr>
          <w:rFonts w:ascii="Times New Roman" w:hAnsi="Times New Roman"/>
        </w:rPr>
        <w:t xml:space="preserve"> </w:t>
      </w:r>
      <w:r>
        <w:rPr>
          <w:rFonts w:ascii="Times New Roman" w:hAnsi="Times New Roman"/>
        </w:rPr>
        <w:t>A pre-industrial model setup was taken and perturbations were made to alkalinity inventory,</w:t>
      </w:r>
      <w:r w:rsidRPr="002F671E">
        <w:rPr>
          <w:rFonts w:ascii="Times New Roman" w:hAnsi="Times New Roman"/>
        </w:rPr>
        <w:t xml:space="preserve"> </w:t>
      </w:r>
      <w:r>
        <w:rPr>
          <w:rFonts w:ascii="Times New Roman" w:hAnsi="Times New Roman"/>
        </w:rPr>
        <w:t>carbon inventory, Antarctic shelf fresh water flux</w:t>
      </w:r>
      <w:r w:rsidR="0087665D">
        <w:rPr>
          <w:rFonts w:ascii="Times New Roman" w:hAnsi="Times New Roman"/>
        </w:rPr>
        <w:t xml:space="preserve"> (Sv)</w:t>
      </w:r>
      <w:r>
        <w:rPr>
          <w:rFonts w:ascii="Times New Roman" w:hAnsi="Times New Roman"/>
        </w:rPr>
        <w:t>, Atlantic-Pacific freshwater flux, S. Lim gas exchange (</w:t>
      </w:r>
      <w:r>
        <w:t>blocks air-sea gas exchange south of the stated latitude)</w:t>
      </w:r>
      <w:r>
        <w:rPr>
          <w:rFonts w:ascii="Times New Roman" w:hAnsi="Times New Roman"/>
        </w:rPr>
        <w:t>, remineralisation depth scale</w:t>
      </w:r>
      <w:r w:rsidR="0087665D">
        <w:rPr>
          <w:rFonts w:ascii="Times New Roman" w:hAnsi="Times New Roman"/>
        </w:rPr>
        <w:t xml:space="preserve"> (m)</w:t>
      </w:r>
      <w:r>
        <w:rPr>
          <w:rFonts w:ascii="Times New Roman" w:hAnsi="Times New Roman"/>
        </w:rPr>
        <w:t xml:space="preserve"> and rain ratio – as described in the methods section. Blue circles depict the</w:t>
      </w:r>
      <w:r w:rsidR="0057576D">
        <w:rPr>
          <w:rFonts w:ascii="Times New Roman" w:hAnsi="Times New Roman"/>
        </w:rPr>
        <w:t xml:space="preserve"> </w:t>
      </w:r>
      <w:r w:rsidR="0057576D">
        <w:rPr>
          <w:color w:val="000000"/>
          <w:szCs w:val="18"/>
        </w:rPr>
        <w:t>∆pH</w:t>
      </w:r>
      <w:r w:rsidR="0057576D">
        <w:rPr>
          <w:rStyle w:val="st"/>
        </w:rPr>
        <w:t>-to-</w:t>
      </w:r>
      <w:r w:rsidR="0057576D">
        <w:rPr>
          <w:color w:val="000000"/>
          <w:szCs w:val="18"/>
        </w:rPr>
        <w:t>∆</w:t>
      </w:r>
      <w:r w:rsidR="0057576D" w:rsidRPr="00D20154">
        <w:rPr>
          <w:color w:val="000000"/>
          <w:szCs w:val="18"/>
        </w:rPr>
        <w:t>δ</w:t>
      </w:r>
      <w:r w:rsidR="0057576D" w:rsidRPr="00980136">
        <w:rPr>
          <w:color w:val="000000"/>
          <w:szCs w:val="12"/>
          <w:vertAlign w:val="superscript"/>
        </w:rPr>
        <w:t>1</w:t>
      </w:r>
      <w:r w:rsidR="0057576D">
        <w:rPr>
          <w:color w:val="000000"/>
          <w:szCs w:val="12"/>
          <w:vertAlign w:val="superscript"/>
        </w:rPr>
        <w:t>3</w:t>
      </w:r>
      <w:r w:rsidR="0057576D">
        <w:rPr>
          <w:color w:val="000000"/>
          <w:szCs w:val="18"/>
        </w:rPr>
        <w:t>C relationship</w:t>
      </w:r>
      <w:r w:rsidR="0057576D" w:rsidDel="0057576D">
        <w:rPr>
          <w:rFonts w:ascii="Times New Roman" w:hAnsi="Times New Roman"/>
        </w:rPr>
        <w:t xml:space="preserve"> </w:t>
      </w:r>
      <w:r>
        <w:rPr>
          <w:rFonts w:ascii="Times New Roman" w:hAnsi="Times New Roman"/>
        </w:rPr>
        <w:t>(where the colour</w:t>
      </w:r>
      <w:r w:rsidR="00326D0D">
        <w:rPr>
          <w:rFonts w:ascii="Times New Roman" w:hAnsi="Times New Roman"/>
        </w:rPr>
        <w:t>s</w:t>
      </w:r>
      <w:r>
        <w:rPr>
          <w:rFonts w:ascii="Times New Roman" w:hAnsi="Times New Roman"/>
        </w:rPr>
        <w:t xml:space="preserve"> reflect the </w:t>
      </w:r>
      <w:r w:rsidRPr="009B3167">
        <w:rPr>
          <w:rFonts w:ascii="Times New Roman" w:hAnsi="Times New Roman"/>
        </w:rPr>
        <w:t>CO</w:t>
      </w:r>
      <w:r w:rsidRPr="009B3167">
        <w:rPr>
          <w:rFonts w:ascii="Times New Roman" w:hAnsi="Times New Roman"/>
          <w:vertAlign w:val="subscript"/>
        </w:rPr>
        <w:t>2</w:t>
      </w:r>
      <w:r>
        <w:rPr>
          <w:rFonts w:ascii="Times New Roman" w:hAnsi="Times New Roman"/>
        </w:rPr>
        <w:t xml:space="preserve"> level of each experiment) and red open circles show the root mean square of the regression</w:t>
      </w:r>
      <w:r w:rsidR="003A7182">
        <w:rPr>
          <w:rFonts w:ascii="Times New Roman" w:hAnsi="Times New Roman"/>
        </w:rPr>
        <w:t xml:space="preserve"> (RMSE)</w:t>
      </w:r>
      <w:r>
        <w:rPr>
          <w:rFonts w:ascii="Times New Roman" w:hAnsi="Times New Roman"/>
        </w:rPr>
        <w:t>.</w:t>
      </w:r>
      <w:r w:rsidR="003A7182">
        <w:rPr>
          <w:rFonts w:ascii="Times New Roman" w:hAnsi="Times New Roman"/>
        </w:rPr>
        <w:t xml:space="preserve"> The green </w:t>
      </w:r>
      <w:r w:rsidR="00C60235">
        <w:rPr>
          <w:rFonts w:ascii="Times New Roman" w:hAnsi="Times New Roman"/>
        </w:rPr>
        <w:t>stars</w:t>
      </w:r>
      <w:r w:rsidR="003A7182">
        <w:rPr>
          <w:rFonts w:ascii="Times New Roman" w:hAnsi="Times New Roman"/>
        </w:rPr>
        <w:t xml:space="preserve"> are</w:t>
      </w:r>
      <w:r w:rsidR="0057576D">
        <w:rPr>
          <w:rFonts w:ascii="Times New Roman" w:hAnsi="Times New Roman"/>
        </w:rPr>
        <w:t xml:space="preserve"> </w:t>
      </w:r>
      <w:r w:rsidR="003A7182">
        <w:rPr>
          <w:rFonts w:ascii="Times New Roman" w:hAnsi="Times New Roman"/>
        </w:rPr>
        <w:t xml:space="preserve">the </w:t>
      </w:r>
      <w:r w:rsidR="0057576D">
        <w:rPr>
          <w:color w:val="000000"/>
          <w:szCs w:val="18"/>
        </w:rPr>
        <w:t>∆pH</w:t>
      </w:r>
      <w:r w:rsidR="0057576D">
        <w:rPr>
          <w:rStyle w:val="st"/>
        </w:rPr>
        <w:t>-to-</w:t>
      </w:r>
      <w:r w:rsidR="0057576D">
        <w:rPr>
          <w:color w:val="000000"/>
          <w:szCs w:val="18"/>
        </w:rPr>
        <w:t>∆</w:t>
      </w:r>
      <w:r w:rsidR="0057576D" w:rsidRPr="00D20154">
        <w:rPr>
          <w:color w:val="000000"/>
          <w:szCs w:val="18"/>
        </w:rPr>
        <w:t>δ</w:t>
      </w:r>
      <w:r w:rsidR="0057576D" w:rsidRPr="00980136">
        <w:rPr>
          <w:color w:val="000000"/>
          <w:szCs w:val="12"/>
          <w:vertAlign w:val="superscript"/>
        </w:rPr>
        <w:t>1</w:t>
      </w:r>
      <w:r w:rsidR="0057576D">
        <w:rPr>
          <w:color w:val="000000"/>
          <w:szCs w:val="12"/>
          <w:vertAlign w:val="superscript"/>
        </w:rPr>
        <w:t>3</w:t>
      </w:r>
      <w:r w:rsidR="0057576D">
        <w:rPr>
          <w:color w:val="000000"/>
          <w:szCs w:val="18"/>
        </w:rPr>
        <w:t>C relationship</w:t>
      </w:r>
      <w:r w:rsidR="0057576D" w:rsidDel="0057576D">
        <w:rPr>
          <w:rFonts w:ascii="Times New Roman" w:hAnsi="Times New Roman"/>
        </w:rPr>
        <w:t xml:space="preserve"> </w:t>
      </w:r>
      <w:r w:rsidR="003A7182">
        <w:rPr>
          <w:rFonts w:ascii="Times New Roman" w:hAnsi="Times New Roman"/>
        </w:rPr>
        <w:t xml:space="preserve">for the control experiment conducted at 292.67 ppm </w:t>
      </w:r>
      <w:r w:rsidR="003A7182" w:rsidRPr="003A7182">
        <w:rPr>
          <w:rFonts w:ascii="Times New Roman" w:hAnsi="Times New Roman"/>
        </w:rPr>
        <w:t>CO</w:t>
      </w:r>
      <w:r w:rsidR="003A7182" w:rsidRPr="003A7182">
        <w:rPr>
          <w:rFonts w:ascii="Times New Roman" w:hAnsi="Times New Roman"/>
          <w:vertAlign w:val="subscript"/>
        </w:rPr>
        <w:t>2</w:t>
      </w:r>
      <w:r w:rsidR="003A7182">
        <w:rPr>
          <w:rFonts w:ascii="Times New Roman" w:hAnsi="Times New Roman"/>
        </w:rPr>
        <w:t>. The green (open) points show the RMSE for this control run. Inventories are dimensionless (1 is control</w:t>
      </w:r>
      <w:r w:rsidR="0087665D">
        <w:rPr>
          <w:rFonts w:ascii="Times New Roman" w:hAnsi="Times New Roman"/>
        </w:rPr>
        <w:t>)</w:t>
      </w:r>
      <w:r w:rsidR="003A7182">
        <w:rPr>
          <w:rFonts w:ascii="Times New Roman" w:hAnsi="Times New Roman"/>
        </w:rPr>
        <w:t xml:space="preserve">. </w:t>
      </w:r>
      <w:r w:rsidR="0087665D">
        <w:rPr>
          <w:rFonts w:ascii="Times New Roman" w:hAnsi="Times New Roman"/>
        </w:rPr>
        <w:t xml:space="preserve">For the </w:t>
      </w:r>
      <w:r w:rsidR="003A7182">
        <w:rPr>
          <w:rFonts w:ascii="Times New Roman" w:hAnsi="Times New Roman"/>
        </w:rPr>
        <w:t xml:space="preserve">Atlantic-Pacific FWF </w:t>
      </w:r>
      <w:r w:rsidR="0087665D">
        <w:rPr>
          <w:rFonts w:ascii="Times New Roman" w:hAnsi="Times New Roman"/>
        </w:rPr>
        <w:t>1 is equivalent to 0.32 Sv</w:t>
      </w:r>
      <w:r w:rsidR="003A7182">
        <w:rPr>
          <w:rFonts w:ascii="Times New Roman" w:hAnsi="Times New Roman"/>
        </w:rPr>
        <w:t>.</w:t>
      </w:r>
      <w:r w:rsidR="0087665D">
        <w:rPr>
          <w:rFonts w:ascii="Times New Roman" w:hAnsi="Times New Roman"/>
        </w:rPr>
        <w:t xml:space="preserve"> </w:t>
      </w:r>
      <w:r>
        <w:rPr>
          <w:rFonts w:ascii="Times New Roman" w:hAnsi="Times New Roman"/>
        </w:rPr>
        <w:t>The alkalinity and</w:t>
      </w:r>
      <w:r w:rsidRPr="002F671E">
        <w:rPr>
          <w:rFonts w:ascii="Times New Roman" w:hAnsi="Times New Roman"/>
        </w:rPr>
        <w:t xml:space="preserve"> </w:t>
      </w:r>
      <w:r>
        <w:rPr>
          <w:rFonts w:ascii="Times New Roman" w:hAnsi="Times New Roman"/>
        </w:rPr>
        <w:t xml:space="preserve">carbon inventory experiments are very extreme and inconsistent with geologic evidence. </w:t>
      </w:r>
    </w:p>
    <w:bookmarkEnd w:id="18"/>
    <w:p w14:paraId="61A4B5C8" w14:textId="34F1311B" w:rsidR="005776A4" w:rsidRPr="00961950" w:rsidRDefault="005776A4" w:rsidP="005776A4">
      <w:pPr>
        <w:pStyle w:val="Caption"/>
        <w:spacing w:line="360" w:lineRule="auto"/>
        <w:rPr>
          <w:rFonts w:ascii="Times New Roman" w:hAnsi="Times New Roman"/>
          <w:sz w:val="24"/>
          <w:szCs w:val="24"/>
        </w:rPr>
      </w:pPr>
      <w:r w:rsidRPr="00961950">
        <w:rPr>
          <w:rFonts w:ascii="Times New Roman" w:hAnsi="Times New Roman"/>
          <w:sz w:val="24"/>
          <w:szCs w:val="24"/>
        </w:rPr>
        <w:t xml:space="preserve">Figure </w:t>
      </w:r>
      <w:r w:rsidR="00321545">
        <w:rPr>
          <w:rFonts w:ascii="Times New Roman" w:hAnsi="Times New Roman"/>
          <w:sz w:val="24"/>
          <w:szCs w:val="24"/>
        </w:rPr>
        <w:t>8</w:t>
      </w:r>
      <w:r w:rsidRPr="00961950">
        <w:rPr>
          <w:rFonts w:ascii="Times New Roman" w:hAnsi="Times New Roman"/>
          <w:sz w:val="24"/>
          <w:szCs w:val="24"/>
        </w:rPr>
        <w:t>: The output from sensitivity analysis of the relationship between pH gradient and δ</w:t>
      </w:r>
      <w:r w:rsidRPr="00961950">
        <w:rPr>
          <w:rFonts w:ascii="Times New Roman" w:hAnsi="Times New Roman"/>
          <w:sz w:val="24"/>
          <w:szCs w:val="24"/>
          <w:vertAlign w:val="superscript"/>
        </w:rPr>
        <w:t>13</w:t>
      </w:r>
      <w:r w:rsidRPr="00961950">
        <w:rPr>
          <w:rFonts w:ascii="Times New Roman" w:hAnsi="Times New Roman"/>
          <w:sz w:val="24"/>
          <w:szCs w:val="24"/>
        </w:rPr>
        <w:t>C gradient</w:t>
      </w:r>
      <w:r>
        <w:rPr>
          <w:rFonts w:ascii="Times New Roman" w:hAnsi="Times New Roman"/>
          <w:sz w:val="24"/>
          <w:szCs w:val="24"/>
        </w:rPr>
        <w:t xml:space="preserve"> from the </w:t>
      </w:r>
      <w:r w:rsidR="004540CF">
        <w:rPr>
          <w:rFonts w:ascii="Times New Roman" w:hAnsi="Times New Roman"/>
          <w:sz w:val="24"/>
          <w:szCs w:val="24"/>
        </w:rPr>
        <w:t xml:space="preserve">13500 </w:t>
      </w:r>
      <w:r>
        <w:rPr>
          <w:rFonts w:ascii="Times New Roman" w:hAnsi="Times New Roman"/>
          <w:sz w:val="24"/>
          <w:szCs w:val="24"/>
        </w:rPr>
        <w:t>run CYCLOPS</w:t>
      </w:r>
      <w:r w:rsidRPr="00961950">
        <w:rPr>
          <w:rFonts w:ascii="Times New Roman" w:hAnsi="Times New Roman"/>
          <w:sz w:val="24"/>
          <w:szCs w:val="24"/>
        </w:rPr>
        <w:t xml:space="preserve"> </w:t>
      </w:r>
      <w:r>
        <w:rPr>
          <w:rFonts w:ascii="Times New Roman" w:hAnsi="Times New Roman"/>
          <w:sz w:val="24"/>
          <w:szCs w:val="24"/>
        </w:rPr>
        <w:t xml:space="preserve">ensemble </w:t>
      </w:r>
      <w:r w:rsidRPr="00961950">
        <w:rPr>
          <w:rFonts w:ascii="Times New Roman" w:hAnsi="Times New Roman"/>
          <w:sz w:val="24"/>
          <w:szCs w:val="24"/>
        </w:rPr>
        <w:t xml:space="preserve">(see text for model details). </w:t>
      </w:r>
      <w:r>
        <w:rPr>
          <w:rFonts w:ascii="Times New Roman" w:hAnsi="Times New Roman"/>
          <w:sz w:val="24"/>
          <w:szCs w:val="24"/>
        </w:rPr>
        <w:t>Panel (a) shows the mean gradient when the result from all 18 ocean boxes are included in the regression. Panel (b) shows only the boxes from the low latitude ocean from all basins and (c) shows the regression from only North Atlantic low latitude boxes. Note the lower Δ</w:t>
      </w:r>
      <w:r w:rsidRPr="006550C8">
        <w:rPr>
          <w:rFonts w:ascii="Times New Roman" w:eastAsiaTheme="minorEastAsia" w:hAnsi="Times New Roman"/>
          <w:sz w:val="24"/>
          <w:szCs w:val="24"/>
          <w:lang w:val="en-US" w:eastAsia="ja-JP"/>
        </w:rPr>
        <w:t>pH/</w:t>
      </w:r>
      <w:r>
        <w:rPr>
          <w:rFonts w:ascii="Times New Roman" w:eastAsiaTheme="minorEastAsia" w:hAnsi="Times New Roman"/>
          <w:sz w:val="24"/>
          <w:szCs w:val="24"/>
          <w:lang w:val="en-US" w:eastAsia="ja-JP"/>
        </w:rPr>
        <w:t>Δ</w:t>
      </w:r>
      <w:r w:rsidRPr="006550C8">
        <w:rPr>
          <w:rFonts w:ascii="Times New Roman" w:eastAsiaTheme="minorEastAsia" w:hAnsi="Times New Roman"/>
          <w:color w:val="000000"/>
          <w:sz w:val="24"/>
          <w:szCs w:val="24"/>
          <w:lang w:val="en-US" w:eastAsia="ja-JP"/>
        </w:rPr>
        <w:t>δ</w:t>
      </w:r>
      <w:r w:rsidRPr="006550C8">
        <w:rPr>
          <w:rFonts w:ascii="Times New Roman" w:eastAsiaTheme="minorEastAsia" w:hAnsi="Times New Roman"/>
          <w:color w:val="000000"/>
          <w:sz w:val="24"/>
          <w:szCs w:val="24"/>
          <w:vertAlign w:val="superscript"/>
          <w:lang w:val="en-US" w:eastAsia="ja-JP"/>
        </w:rPr>
        <w:t>11</w:t>
      </w:r>
      <w:r w:rsidRPr="006550C8">
        <w:rPr>
          <w:rFonts w:ascii="Times New Roman" w:eastAsiaTheme="minorEastAsia" w:hAnsi="Times New Roman"/>
          <w:color w:val="000000"/>
          <w:sz w:val="24"/>
          <w:szCs w:val="24"/>
          <w:lang w:val="en-US" w:eastAsia="ja-JP"/>
        </w:rPr>
        <w:t>B</w:t>
      </w:r>
      <w:r>
        <w:rPr>
          <w:rFonts w:ascii="Times New Roman" w:eastAsiaTheme="minorEastAsia" w:hAnsi="Times New Roman"/>
          <w:sz w:val="24"/>
          <w:szCs w:val="24"/>
          <w:lang w:val="en-US" w:eastAsia="ja-JP"/>
        </w:rPr>
        <w:t xml:space="preserve"> slope at the lower latitudes due to the effect of temperature.</w:t>
      </w:r>
      <w:r w:rsidR="001D4B1E">
        <w:rPr>
          <w:rFonts w:ascii="Times New Roman" w:eastAsiaTheme="minorEastAsia" w:hAnsi="Times New Roman"/>
          <w:sz w:val="24"/>
          <w:szCs w:val="24"/>
          <w:lang w:val="en-US" w:eastAsia="ja-JP"/>
        </w:rPr>
        <w:t xml:space="preserve"> The 0.201 line in each panel </w:t>
      </w:r>
      <w:r w:rsidR="006578B8">
        <w:rPr>
          <w:rFonts w:ascii="Times New Roman" w:eastAsiaTheme="minorEastAsia" w:hAnsi="Times New Roman"/>
          <w:sz w:val="24"/>
          <w:szCs w:val="24"/>
          <w:lang w:val="en-US" w:eastAsia="ja-JP"/>
        </w:rPr>
        <w:t>is</w:t>
      </w:r>
      <w:r w:rsidR="001D4B1E">
        <w:rPr>
          <w:rFonts w:ascii="Times New Roman" w:eastAsiaTheme="minorEastAsia" w:hAnsi="Times New Roman"/>
          <w:sz w:val="24"/>
          <w:szCs w:val="24"/>
          <w:lang w:val="en-US" w:eastAsia="ja-JP"/>
        </w:rPr>
        <w:t xml:space="preserve"> the mean gradient when all the ocean boxes are included in the regression.</w:t>
      </w:r>
      <w:r>
        <w:rPr>
          <w:rFonts w:ascii="Times New Roman" w:eastAsiaTheme="minorEastAsia" w:hAnsi="Times New Roman"/>
          <w:sz w:val="24"/>
          <w:szCs w:val="24"/>
          <w:lang w:val="en-US" w:eastAsia="ja-JP"/>
        </w:rPr>
        <w:t xml:space="preserve"> </w:t>
      </w:r>
    </w:p>
    <w:p w14:paraId="66CA4409" w14:textId="0123D230" w:rsidR="00961950" w:rsidRPr="00961950" w:rsidRDefault="00961950" w:rsidP="00961950">
      <w:pPr>
        <w:pStyle w:val="Caption"/>
        <w:spacing w:line="360" w:lineRule="auto"/>
        <w:rPr>
          <w:rFonts w:ascii="Times New Roman" w:hAnsi="Times New Roman"/>
          <w:sz w:val="24"/>
          <w:szCs w:val="24"/>
        </w:rPr>
      </w:pPr>
      <w:r w:rsidRPr="00961950">
        <w:rPr>
          <w:rFonts w:ascii="Times New Roman" w:hAnsi="Times New Roman"/>
          <w:sz w:val="24"/>
          <w:szCs w:val="24"/>
        </w:rPr>
        <w:t xml:space="preserve">Figure </w:t>
      </w:r>
      <w:r w:rsidR="00321545">
        <w:rPr>
          <w:rFonts w:ascii="Times New Roman" w:hAnsi="Times New Roman"/>
          <w:sz w:val="24"/>
          <w:szCs w:val="24"/>
        </w:rPr>
        <w:t>9</w:t>
      </w:r>
      <w:r w:rsidRPr="00961950">
        <w:rPr>
          <w:rFonts w:ascii="Times New Roman" w:hAnsi="Times New Roman"/>
          <w:sz w:val="24"/>
          <w:szCs w:val="24"/>
        </w:rPr>
        <w:t>: The pH gradient between surface and deep</w:t>
      </w:r>
      <w:r w:rsidR="001E17C1">
        <w:rPr>
          <w:rFonts w:ascii="Times New Roman" w:hAnsi="Times New Roman"/>
          <w:sz w:val="24"/>
          <w:szCs w:val="24"/>
        </w:rPr>
        <w:t xml:space="preserve"> through time</w:t>
      </w:r>
      <w:r w:rsidRPr="00961950">
        <w:rPr>
          <w:rFonts w:ascii="Times New Roman" w:hAnsi="Times New Roman"/>
          <w:sz w:val="24"/>
          <w:szCs w:val="24"/>
        </w:rPr>
        <w:t xml:space="preserve"> calculated from the δ</w:t>
      </w:r>
      <w:r w:rsidRPr="00961950">
        <w:rPr>
          <w:rFonts w:ascii="Times New Roman" w:hAnsi="Times New Roman"/>
          <w:sz w:val="24"/>
          <w:szCs w:val="24"/>
          <w:vertAlign w:val="superscript"/>
        </w:rPr>
        <w:t>13</w:t>
      </w:r>
      <w:r w:rsidRPr="00961950">
        <w:rPr>
          <w:rFonts w:ascii="Times New Roman" w:hAnsi="Times New Roman"/>
          <w:sz w:val="24"/>
          <w:szCs w:val="24"/>
        </w:rPr>
        <w:t xml:space="preserve">C gradient and </w:t>
      </w:r>
      <w:r w:rsidR="006550C8">
        <w:rPr>
          <w:rFonts w:ascii="Times New Roman" w:hAnsi="Times New Roman"/>
          <w:sz w:val="24"/>
          <w:szCs w:val="24"/>
        </w:rPr>
        <w:t xml:space="preserve">using </w:t>
      </w:r>
      <w:r w:rsidR="00B91062">
        <w:rPr>
          <w:rFonts w:ascii="Times New Roman" w:hAnsi="Times New Roman"/>
          <w:sz w:val="24"/>
          <w:szCs w:val="24"/>
        </w:rPr>
        <w:t xml:space="preserve">a flat probability </w:t>
      </w:r>
      <w:r w:rsidR="00DC078B">
        <w:rPr>
          <w:rFonts w:ascii="Times New Roman" w:hAnsi="Times New Roman"/>
          <w:sz w:val="24"/>
          <w:szCs w:val="24"/>
        </w:rPr>
        <w:t xml:space="preserve">derived </w:t>
      </w:r>
      <w:r w:rsidR="00B91062">
        <w:rPr>
          <w:rFonts w:ascii="Times New Roman" w:hAnsi="Times New Roman"/>
          <w:sz w:val="24"/>
          <w:szCs w:val="24"/>
        </w:rPr>
        <w:t>from the</w:t>
      </w:r>
      <w:r w:rsidR="006550C8">
        <w:rPr>
          <w:rFonts w:ascii="Times New Roman" w:hAnsi="Times New Roman"/>
          <w:sz w:val="24"/>
          <w:szCs w:val="24"/>
        </w:rPr>
        <w:t xml:space="preserve"> low latitude</w:t>
      </w:r>
      <w:r w:rsidR="00B91062">
        <w:rPr>
          <w:rFonts w:ascii="Times New Roman" w:hAnsi="Times New Roman"/>
          <w:sz w:val="24"/>
          <w:szCs w:val="24"/>
        </w:rPr>
        <w:t xml:space="preserve"> ensemble </w:t>
      </w:r>
      <w:r w:rsidR="006550C8">
        <w:rPr>
          <w:rFonts w:ascii="Times New Roman" w:hAnsi="Times New Roman"/>
          <w:sz w:val="24"/>
          <w:szCs w:val="24"/>
        </w:rPr>
        <w:t xml:space="preserve">regressions </w:t>
      </w:r>
      <w:r w:rsidRPr="00961950">
        <w:rPr>
          <w:rFonts w:ascii="Times New Roman" w:hAnsi="Times New Roman"/>
          <w:sz w:val="24"/>
          <w:szCs w:val="24"/>
        </w:rPr>
        <w:t>from the CYCLOPS model.</w:t>
      </w:r>
      <w:bookmarkEnd w:id="19"/>
      <w:r w:rsidR="00C846D5">
        <w:rPr>
          <w:rFonts w:ascii="Times New Roman" w:hAnsi="Times New Roman"/>
          <w:sz w:val="24"/>
          <w:szCs w:val="24"/>
        </w:rPr>
        <w:t xml:space="preserve"> </w:t>
      </w:r>
      <w:r w:rsidR="00DC078B">
        <w:rPr>
          <w:rFonts w:ascii="Times New Roman" w:hAnsi="Times New Roman"/>
          <w:sz w:val="24"/>
          <w:szCs w:val="24"/>
        </w:rPr>
        <w:t>The modern pH gradients at each site are also plotted.</w:t>
      </w:r>
    </w:p>
    <w:p w14:paraId="5708BE71" w14:textId="3561B3EF" w:rsidR="005C7D43" w:rsidRDefault="00961950" w:rsidP="00876B1F">
      <w:pPr>
        <w:pStyle w:val="Caption"/>
        <w:spacing w:line="360" w:lineRule="auto"/>
        <w:rPr>
          <w:rFonts w:ascii="Times New Roman" w:hAnsi="Times New Roman"/>
          <w:sz w:val="24"/>
          <w:szCs w:val="24"/>
          <w:lang w:val="en-US"/>
        </w:rPr>
      </w:pPr>
      <w:r w:rsidRPr="00961950">
        <w:rPr>
          <w:rFonts w:ascii="Times New Roman" w:hAnsi="Times New Roman"/>
          <w:sz w:val="24"/>
          <w:szCs w:val="24"/>
        </w:rPr>
        <w:t xml:space="preserve">Figure </w:t>
      </w:r>
      <w:r w:rsidR="00321545">
        <w:rPr>
          <w:rFonts w:ascii="Times New Roman" w:hAnsi="Times New Roman"/>
          <w:sz w:val="24"/>
          <w:szCs w:val="24"/>
        </w:rPr>
        <w:t>10</w:t>
      </w:r>
      <w:r w:rsidRPr="00961950">
        <w:rPr>
          <w:rFonts w:ascii="Times New Roman" w:hAnsi="Times New Roman"/>
          <w:sz w:val="24"/>
          <w:szCs w:val="24"/>
        </w:rPr>
        <w:t>: The calculated δ</w:t>
      </w:r>
      <w:r w:rsidRPr="00961950">
        <w:rPr>
          <w:rFonts w:ascii="Times New Roman" w:hAnsi="Times New Roman"/>
          <w:sz w:val="24"/>
          <w:szCs w:val="24"/>
          <w:vertAlign w:val="superscript"/>
        </w:rPr>
        <w:t>11</w:t>
      </w:r>
      <w:r w:rsidRPr="00961950">
        <w:rPr>
          <w:rFonts w:ascii="Times New Roman" w:hAnsi="Times New Roman"/>
          <w:sz w:val="24"/>
          <w:szCs w:val="24"/>
        </w:rPr>
        <w:t>B</w:t>
      </w:r>
      <w:r w:rsidRPr="00961950">
        <w:rPr>
          <w:rFonts w:ascii="Times New Roman" w:hAnsi="Times New Roman"/>
          <w:sz w:val="24"/>
          <w:szCs w:val="24"/>
          <w:vertAlign w:val="subscript"/>
        </w:rPr>
        <w:t>sw</w:t>
      </w:r>
      <w:r w:rsidRPr="00961950">
        <w:rPr>
          <w:rFonts w:ascii="Times New Roman" w:hAnsi="Times New Roman"/>
          <w:sz w:val="24"/>
          <w:szCs w:val="24"/>
        </w:rPr>
        <w:t xml:space="preserve"> from the benthic-planktic δ</w:t>
      </w:r>
      <w:r w:rsidRPr="00961950">
        <w:rPr>
          <w:rFonts w:ascii="Times New Roman" w:hAnsi="Times New Roman"/>
          <w:sz w:val="24"/>
          <w:szCs w:val="24"/>
          <w:vertAlign w:val="superscript"/>
        </w:rPr>
        <w:t>11</w:t>
      </w:r>
      <w:r w:rsidRPr="00961950">
        <w:rPr>
          <w:rFonts w:ascii="Times New Roman" w:hAnsi="Times New Roman"/>
          <w:sz w:val="24"/>
          <w:szCs w:val="24"/>
        </w:rPr>
        <w:t xml:space="preserve">B pairs </w:t>
      </w:r>
      <w:r w:rsidR="00102A50">
        <w:rPr>
          <w:rFonts w:ascii="Times New Roman" w:hAnsi="Times New Roman"/>
          <w:sz w:val="24"/>
          <w:szCs w:val="24"/>
        </w:rPr>
        <w:t>using</w:t>
      </w:r>
      <w:r w:rsidR="006C3659">
        <w:rPr>
          <w:rFonts w:ascii="Times New Roman" w:hAnsi="Times New Roman"/>
          <w:sz w:val="24"/>
          <w:szCs w:val="24"/>
        </w:rPr>
        <w:t xml:space="preserve"> </w:t>
      </w:r>
      <w:r w:rsidR="00EC78C6">
        <w:rPr>
          <w:rFonts w:ascii="Times New Roman" w:hAnsi="Times New Roman"/>
          <w:sz w:val="24"/>
          <w:szCs w:val="24"/>
        </w:rPr>
        <w:t xml:space="preserve">a </w:t>
      </w:r>
      <w:r w:rsidR="006C3659" w:rsidRPr="00961950">
        <w:rPr>
          <w:rFonts w:ascii="Times New Roman" w:hAnsi="Times New Roman"/>
          <w:sz w:val="24"/>
          <w:szCs w:val="24"/>
        </w:rPr>
        <w:t>pH gradient derived from</w:t>
      </w:r>
      <w:r w:rsidR="00793F01">
        <w:rPr>
          <w:rFonts w:ascii="Times New Roman" w:hAnsi="Times New Roman"/>
          <w:sz w:val="24"/>
          <w:szCs w:val="24"/>
        </w:rPr>
        <w:t xml:space="preserve"> </w:t>
      </w:r>
      <w:r w:rsidR="00EC78C6" w:rsidRPr="00961950">
        <w:rPr>
          <w:rFonts w:ascii="Times New Roman" w:hAnsi="Times New Roman"/>
          <w:sz w:val="24"/>
          <w:szCs w:val="24"/>
        </w:rPr>
        <w:t>δ</w:t>
      </w:r>
      <w:r w:rsidR="00EC78C6" w:rsidRPr="00961950">
        <w:rPr>
          <w:rFonts w:ascii="Times New Roman" w:hAnsi="Times New Roman"/>
          <w:sz w:val="24"/>
          <w:szCs w:val="24"/>
          <w:vertAlign w:val="superscript"/>
        </w:rPr>
        <w:t>13</w:t>
      </w:r>
      <w:r w:rsidR="00EC78C6" w:rsidRPr="00961950">
        <w:rPr>
          <w:rFonts w:ascii="Times New Roman" w:hAnsi="Times New Roman"/>
          <w:sz w:val="24"/>
          <w:szCs w:val="24"/>
        </w:rPr>
        <w:t>C</w:t>
      </w:r>
      <w:r w:rsidR="00EC78C6">
        <w:rPr>
          <w:rFonts w:ascii="Times New Roman" w:hAnsi="Times New Roman"/>
          <w:sz w:val="24"/>
          <w:szCs w:val="24"/>
        </w:rPr>
        <w:t xml:space="preserve"> </w:t>
      </w:r>
      <w:r w:rsidRPr="00961950">
        <w:rPr>
          <w:rFonts w:ascii="Times New Roman" w:hAnsi="Times New Roman"/>
          <w:sz w:val="24"/>
          <w:szCs w:val="24"/>
        </w:rPr>
        <w:t>. The uncertainty on each data point is determined using a Monte Carlo approach including uncertainties in temperature, salinity, δ</w:t>
      </w:r>
      <w:r w:rsidRPr="00961950">
        <w:rPr>
          <w:rFonts w:ascii="Times New Roman" w:hAnsi="Times New Roman"/>
          <w:sz w:val="24"/>
          <w:szCs w:val="24"/>
          <w:vertAlign w:val="superscript"/>
        </w:rPr>
        <w:t>11</w:t>
      </w:r>
      <w:r w:rsidRPr="00961950">
        <w:rPr>
          <w:rFonts w:ascii="Times New Roman" w:hAnsi="Times New Roman"/>
          <w:sz w:val="24"/>
          <w:szCs w:val="24"/>
        </w:rPr>
        <w:t>B and the pH gradient (see text for details)</w:t>
      </w:r>
      <w:r w:rsidR="00EC5D96">
        <w:rPr>
          <w:rFonts w:ascii="Times New Roman" w:hAnsi="Times New Roman"/>
          <w:sz w:val="24"/>
          <w:szCs w:val="24"/>
        </w:rPr>
        <w:t>.</w:t>
      </w:r>
      <w:r w:rsidR="00102A50">
        <w:rPr>
          <w:rFonts w:ascii="Times New Roman" w:hAnsi="Times New Roman"/>
          <w:sz w:val="24"/>
          <w:szCs w:val="24"/>
        </w:rPr>
        <w:t xml:space="preserve"> Data are plotted as box and whisker diagrams where the median and interquartile range as plotted in the box and whiskers show the maximum and minimum output from the Monte Carlo simulations.</w:t>
      </w:r>
      <w:r w:rsidRPr="00961950">
        <w:rPr>
          <w:rFonts w:ascii="Times New Roman" w:hAnsi="Times New Roman"/>
          <w:sz w:val="24"/>
          <w:szCs w:val="24"/>
        </w:rPr>
        <w:t xml:space="preserve"> The line of best fit is </w:t>
      </w:r>
      <w:r w:rsidRPr="00961950">
        <w:rPr>
          <w:rFonts w:ascii="Times New Roman" w:hAnsi="Times New Roman"/>
          <w:sz w:val="24"/>
          <w:szCs w:val="24"/>
          <w:lang w:val="en-US"/>
        </w:rPr>
        <w:t>the probability maximum of a LO</w:t>
      </w:r>
      <w:r w:rsidR="001E17C1">
        <w:rPr>
          <w:rFonts w:ascii="Times New Roman" w:hAnsi="Times New Roman"/>
          <w:sz w:val="24"/>
          <w:szCs w:val="24"/>
          <w:lang w:val="en-US"/>
        </w:rPr>
        <w:t>W</w:t>
      </w:r>
      <w:r w:rsidRPr="00961950">
        <w:rPr>
          <w:rFonts w:ascii="Times New Roman" w:hAnsi="Times New Roman"/>
          <w:sz w:val="24"/>
          <w:szCs w:val="24"/>
          <w:lang w:val="en-US"/>
        </w:rPr>
        <w:t>ESS fit given the uncertainty in the calculated δ</w:t>
      </w:r>
      <w:r w:rsidRPr="00961950">
        <w:rPr>
          <w:rFonts w:ascii="Times New Roman" w:hAnsi="Times New Roman"/>
          <w:sz w:val="24"/>
          <w:szCs w:val="24"/>
          <w:vertAlign w:val="superscript"/>
          <w:lang w:val="en-US"/>
        </w:rPr>
        <w:t>11</w:t>
      </w:r>
      <w:r w:rsidRPr="00961950">
        <w:rPr>
          <w:rFonts w:ascii="Times New Roman" w:hAnsi="Times New Roman"/>
          <w:sz w:val="24"/>
          <w:szCs w:val="24"/>
          <w:lang w:val="en-US"/>
        </w:rPr>
        <w:t>B</w:t>
      </w:r>
      <w:r w:rsidRPr="00961950">
        <w:rPr>
          <w:rFonts w:ascii="Times New Roman" w:hAnsi="Times New Roman"/>
          <w:sz w:val="24"/>
          <w:szCs w:val="24"/>
          <w:vertAlign w:val="subscript"/>
          <w:lang w:val="en-US"/>
        </w:rPr>
        <w:t>sw</w:t>
      </w:r>
      <w:r w:rsidRPr="00961950">
        <w:rPr>
          <w:rFonts w:ascii="Times New Roman" w:hAnsi="Times New Roman"/>
          <w:sz w:val="24"/>
          <w:szCs w:val="24"/>
          <w:lang w:val="en-US"/>
        </w:rPr>
        <w:t xml:space="preserve">. </w:t>
      </w:r>
      <w:bookmarkEnd w:id="20"/>
      <w:r w:rsidR="00C846D5" w:rsidRPr="00961950">
        <w:rPr>
          <w:rFonts w:ascii="Times New Roman" w:hAnsi="Times New Roman"/>
          <w:sz w:val="24"/>
          <w:szCs w:val="24"/>
          <w:lang w:val="en-US"/>
        </w:rPr>
        <w:t>The darker shaded area highlights the 68% confidence interval and the lighter interval highlights the 95% confidence interval</w:t>
      </w:r>
      <w:r w:rsidR="00793F01">
        <w:rPr>
          <w:rFonts w:ascii="Times New Roman" w:hAnsi="Times New Roman"/>
          <w:sz w:val="24"/>
          <w:szCs w:val="24"/>
          <w:lang w:val="en-US"/>
        </w:rPr>
        <w:t xml:space="preserve">. </w:t>
      </w:r>
      <w:r w:rsidR="00102A50">
        <w:rPr>
          <w:rFonts w:ascii="Times New Roman" w:hAnsi="Times New Roman"/>
          <w:sz w:val="24"/>
          <w:szCs w:val="24"/>
          <w:lang w:val="en-US"/>
        </w:rPr>
        <w:t xml:space="preserve">The </w:t>
      </w:r>
      <w:bookmarkEnd w:id="21"/>
      <w:r w:rsidR="00102A50">
        <w:rPr>
          <w:rFonts w:ascii="Times New Roman" w:hAnsi="Times New Roman"/>
          <w:sz w:val="24"/>
          <w:szCs w:val="24"/>
          <w:lang w:val="en-US"/>
        </w:rPr>
        <w:t>bottom panel</w:t>
      </w:r>
      <w:r w:rsidR="005776A4">
        <w:rPr>
          <w:rFonts w:ascii="Times New Roman" w:hAnsi="Times New Roman"/>
          <w:sz w:val="24"/>
          <w:szCs w:val="24"/>
          <w:lang w:val="en-US"/>
        </w:rPr>
        <w:t xml:space="preserve"> shows </w:t>
      </w:r>
      <w:r w:rsidR="00876B1F">
        <w:rPr>
          <w:rFonts w:ascii="Times New Roman" w:hAnsi="Times New Roman"/>
          <w:sz w:val="24"/>
          <w:szCs w:val="24"/>
          <w:lang w:val="en-US"/>
        </w:rPr>
        <w:t>b</w:t>
      </w:r>
      <w:r w:rsidR="00E102A2">
        <w:rPr>
          <w:rFonts w:ascii="Times New Roman" w:hAnsi="Times New Roman"/>
          <w:sz w:val="24"/>
          <w:szCs w:val="24"/>
          <w:lang w:val="en-US"/>
        </w:rPr>
        <w:t xml:space="preserve">ox plots </w:t>
      </w:r>
      <w:r w:rsidR="00876B1F">
        <w:rPr>
          <w:rFonts w:ascii="Times New Roman" w:hAnsi="Times New Roman"/>
          <w:sz w:val="24"/>
          <w:szCs w:val="24"/>
          <w:lang w:val="en-US"/>
        </w:rPr>
        <w:t>of</w:t>
      </w:r>
      <w:r w:rsidR="00E102A2">
        <w:rPr>
          <w:rFonts w:ascii="Times New Roman" w:hAnsi="Times New Roman"/>
          <w:sz w:val="24"/>
          <w:szCs w:val="24"/>
          <w:lang w:val="en-US"/>
        </w:rPr>
        <w:t xml:space="preserve"> the mean and 2 standard error</w:t>
      </w:r>
      <w:r w:rsidR="00876B1F">
        <w:rPr>
          <w:rFonts w:ascii="Times New Roman" w:hAnsi="Times New Roman"/>
          <w:sz w:val="24"/>
          <w:szCs w:val="24"/>
          <w:lang w:val="en-US"/>
        </w:rPr>
        <w:t xml:space="preserve"> (s.e.</w:t>
      </w:r>
      <w:r w:rsidR="00E102A2">
        <w:rPr>
          <w:rFonts w:ascii="Times New Roman" w:hAnsi="Times New Roman"/>
          <w:sz w:val="24"/>
          <w:szCs w:val="24"/>
          <w:lang w:val="en-US"/>
        </w:rPr>
        <w:t xml:space="preserve">) of ‘binning’ the individual </w:t>
      </w:r>
      <w:r w:rsidR="00E102A2" w:rsidRPr="00961950">
        <w:rPr>
          <w:rFonts w:ascii="Times New Roman" w:hAnsi="Times New Roman"/>
          <w:sz w:val="24"/>
          <w:szCs w:val="24"/>
          <w:lang w:val="en-US"/>
        </w:rPr>
        <w:t>δ</w:t>
      </w:r>
      <w:r w:rsidR="00E102A2" w:rsidRPr="00961950">
        <w:rPr>
          <w:rFonts w:ascii="Times New Roman" w:hAnsi="Times New Roman"/>
          <w:sz w:val="24"/>
          <w:szCs w:val="24"/>
          <w:vertAlign w:val="superscript"/>
          <w:lang w:val="en-US"/>
        </w:rPr>
        <w:t>11</w:t>
      </w:r>
      <w:r w:rsidR="00E102A2" w:rsidRPr="00961950">
        <w:rPr>
          <w:rFonts w:ascii="Times New Roman" w:hAnsi="Times New Roman"/>
          <w:sz w:val="24"/>
          <w:szCs w:val="24"/>
          <w:lang w:val="en-US"/>
        </w:rPr>
        <w:t>B</w:t>
      </w:r>
      <w:r w:rsidR="00E102A2" w:rsidRPr="00961950">
        <w:rPr>
          <w:rFonts w:ascii="Times New Roman" w:hAnsi="Times New Roman"/>
          <w:sz w:val="24"/>
          <w:szCs w:val="24"/>
          <w:vertAlign w:val="subscript"/>
          <w:lang w:val="en-US"/>
        </w:rPr>
        <w:t>sw</w:t>
      </w:r>
      <w:r w:rsidR="00E102A2" w:rsidDel="00102A50">
        <w:rPr>
          <w:rFonts w:ascii="Times New Roman" w:hAnsi="Times New Roman"/>
          <w:sz w:val="24"/>
          <w:szCs w:val="24"/>
          <w:lang w:val="en-US"/>
        </w:rPr>
        <w:t xml:space="preserve"> </w:t>
      </w:r>
      <w:r w:rsidR="00E102A2">
        <w:rPr>
          <w:rFonts w:ascii="Times New Roman" w:hAnsi="Times New Roman"/>
          <w:sz w:val="24"/>
          <w:szCs w:val="24"/>
          <w:lang w:val="en-US"/>
        </w:rPr>
        <w:t>measurements into 8 Myr intervals. The middle line is the mean and the box shows the 2 s.e. of the data points in that bin. The smoothed reco</w:t>
      </w:r>
      <w:r w:rsidR="00580F89">
        <w:rPr>
          <w:rFonts w:ascii="Times New Roman" w:hAnsi="Times New Roman"/>
          <w:sz w:val="24"/>
          <w:szCs w:val="24"/>
          <w:lang w:val="en-US"/>
        </w:rPr>
        <w:t>rd is also plotted for comparis</w:t>
      </w:r>
      <w:r w:rsidR="00E102A2">
        <w:rPr>
          <w:rFonts w:ascii="Times New Roman" w:hAnsi="Times New Roman"/>
          <w:sz w:val="24"/>
          <w:szCs w:val="24"/>
          <w:lang w:val="en-US"/>
        </w:rPr>
        <w:t xml:space="preserve">on where </w:t>
      </w:r>
      <w:r w:rsidR="00E102A2">
        <w:rPr>
          <w:rFonts w:ascii="Times New Roman" w:hAnsi="Times New Roman"/>
          <w:sz w:val="24"/>
          <w:szCs w:val="24"/>
        </w:rPr>
        <w:t>t</w:t>
      </w:r>
      <w:r w:rsidR="00E102A2" w:rsidRPr="00961950">
        <w:rPr>
          <w:rFonts w:ascii="Times New Roman" w:hAnsi="Times New Roman"/>
          <w:sz w:val="24"/>
          <w:szCs w:val="24"/>
        </w:rPr>
        <w:t xml:space="preserve">he line of best fit is </w:t>
      </w:r>
      <w:r w:rsidR="00E102A2" w:rsidRPr="00961950">
        <w:rPr>
          <w:rFonts w:ascii="Times New Roman" w:hAnsi="Times New Roman"/>
          <w:sz w:val="24"/>
          <w:szCs w:val="24"/>
          <w:lang w:val="en-US"/>
        </w:rPr>
        <w:t>the probability maximum of a LO</w:t>
      </w:r>
      <w:r w:rsidR="00E102A2">
        <w:rPr>
          <w:rFonts w:ascii="Times New Roman" w:hAnsi="Times New Roman"/>
          <w:sz w:val="24"/>
          <w:szCs w:val="24"/>
          <w:lang w:val="en-US"/>
        </w:rPr>
        <w:t>W</w:t>
      </w:r>
      <w:r w:rsidR="00E102A2" w:rsidRPr="00961950">
        <w:rPr>
          <w:rFonts w:ascii="Times New Roman" w:hAnsi="Times New Roman"/>
          <w:sz w:val="24"/>
          <w:szCs w:val="24"/>
          <w:lang w:val="en-US"/>
        </w:rPr>
        <w:t>ESS fit given the uncertainty in the calculated δ</w:t>
      </w:r>
      <w:r w:rsidR="00E102A2" w:rsidRPr="00961950">
        <w:rPr>
          <w:rFonts w:ascii="Times New Roman" w:hAnsi="Times New Roman"/>
          <w:sz w:val="24"/>
          <w:szCs w:val="24"/>
          <w:vertAlign w:val="superscript"/>
          <w:lang w:val="en-US"/>
        </w:rPr>
        <w:t>11</w:t>
      </w:r>
      <w:r w:rsidR="00E102A2" w:rsidRPr="00961950">
        <w:rPr>
          <w:rFonts w:ascii="Times New Roman" w:hAnsi="Times New Roman"/>
          <w:sz w:val="24"/>
          <w:szCs w:val="24"/>
          <w:lang w:val="en-US"/>
        </w:rPr>
        <w:t>B</w:t>
      </w:r>
      <w:r w:rsidR="00E102A2" w:rsidRPr="00961950">
        <w:rPr>
          <w:rFonts w:ascii="Times New Roman" w:hAnsi="Times New Roman"/>
          <w:sz w:val="24"/>
          <w:szCs w:val="24"/>
          <w:vertAlign w:val="subscript"/>
          <w:lang w:val="en-US"/>
        </w:rPr>
        <w:t>sw</w:t>
      </w:r>
      <w:r w:rsidR="00E102A2" w:rsidRPr="00961950">
        <w:rPr>
          <w:rFonts w:ascii="Times New Roman" w:hAnsi="Times New Roman"/>
          <w:sz w:val="24"/>
          <w:szCs w:val="24"/>
          <w:lang w:val="en-US"/>
        </w:rPr>
        <w:t>. The darker shaded area highlights the 68% confidence interval and the lighter interval highlights the 95% confidence interval</w:t>
      </w:r>
      <w:r w:rsidR="00E102A2">
        <w:rPr>
          <w:rFonts w:ascii="Times New Roman" w:hAnsi="Times New Roman"/>
          <w:sz w:val="24"/>
          <w:szCs w:val="24"/>
          <w:lang w:val="en-US"/>
        </w:rPr>
        <w:t xml:space="preserve">. </w:t>
      </w:r>
      <w:r w:rsidR="00580F89">
        <w:rPr>
          <w:rFonts w:ascii="Times New Roman" w:hAnsi="Times New Roman"/>
          <w:sz w:val="24"/>
          <w:szCs w:val="24"/>
          <w:lang w:val="en-US"/>
        </w:rPr>
        <w:t xml:space="preserve">The black dot is the modern value of 39.61 </w:t>
      </w:r>
      <w:r w:rsidR="00580F89" w:rsidRPr="00961950">
        <w:rPr>
          <w:rFonts w:ascii="Times New Roman" w:hAnsi="Times New Roman"/>
          <w:sz w:val="24"/>
          <w:szCs w:val="24"/>
        </w:rPr>
        <w:t>‰</w:t>
      </w:r>
      <w:r w:rsidR="00580F89">
        <w:rPr>
          <w:rFonts w:ascii="Times New Roman" w:hAnsi="Times New Roman"/>
          <w:sz w:val="24"/>
          <w:szCs w:val="24"/>
        </w:rPr>
        <w:t xml:space="preserve"> (Foster et al., 2010).</w:t>
      </w:r>
    </w:p>
    <w:p w14:paraId="6E43C1F2" w14:textId="62D92C43" w:rsidR="005C7D43" w:rsidRDefault="005C7D43" w:rsidP="005C7D43">
      <w:pPr>
        <w:pStyle w:val="Caption"/>
        <w:spacing w:line="360" w:lineRule="auto"/>
        <w:rPr>
          <w:rFonts w:ascii="Times New Roman" w:hAnsi="Times New Roman"/>
          <w:sz w:val="24"/>
          <w:szCs w:val="24"/>
        </w:rPr>
      </w:pPr>
      <w:r w:rsidRPr="00961950">
        <w:rPr>
          <w:rFonts w:ascii="Times New Roman" w:hAnsi="Times New Roman"/>
          <w:sz w:val="24"/>
          <w:szCs w:val="24"/>
        </w:rPr>
        <w:t xml:space="preserve">Figure </w:t>
      </w:r>
      <w:r>
        <w:rPr>
          <w:rFonts w:ascii="Times New Roman" w:hAnsi="Times New Roman"/>
          <w:sz w:val="24"/>
          <w:szCs w:val="24"/>
        </w:rPr>
        <w:t>1</w:t>
      </w:r>
      <w:r w:rsidR="00876B1F">
        <w:rPr>
          <w:rFonts w:ascii="Times New Roman" w:hAnsi="Times New Roman"/>
          <w:sz w:val="24"/>
          <w:szCs w:val="24"/>
        </w:rPr>
        <w:t>1</w:t>
      </w:r>
      <w:r w:rsidRPr="00961950">
        <w:rPr>
          <w:rFonts w:ascii="Times New Roman" w:hAnsi="Times New Roman"/>
          <w:sz w:val="24"/>
          <w:szCs w:val="24"/>
        </w:rPr>
        <w:t>: The δ</w:t>
      </w:r>
      <w:r w:rsidRPr="00961950">
        <w:rPr>
          <w:rFonts w:ascii="Times New Roman" w:hAnsi="Times New Roman"/>
          <w:sz w:val="24"/>
          <w:szCs w:val="24"/>
          <w:vertAlign w:val="superscript"/>
        </w:rPr>
        <w:t>11</w:t>
      </w:r>
      <w:r w:rsidRPr="00961950">
        <w:rPr>
          <w:rFonts w:ascii="Times New Roman" w:hAnsi="Times New Roman"/>
          <w:sz w:val="24"/>
          <w:szCs w:val="24"/>
        </w:rPr>
        <w:t>B</w:t>
      </w:r>
      <w:r w:rsidRPr="00961950">
        <w:rPr>
          <w:rFonts w:ascii="Times New Roman" w:hAnsi="Times New Roman"/>
          <w:sz w:val="24"/>
          <w:szCs w:val="24"/>
          <w:vertAlign w:val="subscript"/>
        </w:rPr>
        <w:t>sw</w:t>
      </w:r>
      <w:r w:rsidRPr="00961950">
        <w:rPr>
          <w:rFonts w:ascii="Times New Roman" w:hAnsi="Times New Roman"/>
          <w:sz w:val="24"/>
          <w:szCs w:val="24"/>
        </w:rPr>
        <w:t xml:space="preserve"> curve calculated using </w:t>
      </w:r>
      <w:r>
        <w:rPr>
          <w:rFonts w:ascii="Times New Roman" w:hAnsi="Times New Roman"/>
          <w:sz w:val="24"/>
          <w:szCs w:val="24"/>
        </w:rPr>
        <w:t xml:space="preserve">the </w:t>
      </w:r>
      <w:r w:rsidRPr="00961950">
        <w:rPr>
          <w:rFonts w:ascii="Times New Roman" w:hAnsi="Times New Roman"/>
          <w:sz w:val="24"/>
          <w:szCs w:val="24"/>
        </w:rPr>
        <w:t>variable pH gradient derived from δ</w:t>
      </w:r>
      <w:r w:rsidRPr="00961950">
        <w:rPr>
          <w:rFonts w:ascii="Times New Roman" w:hAnsi="Times New Roman"/>
          <w:sz w:val="24"/>
          <w:szCs w:val="24"/>
          <w:vertAlign w:val="superscript"/>
        </w:rPr>
        <w:t>13</w:t>
      </w:r>
      <w:r w:rsidRPr="00961950">
        <w:rPr>
          <w:rFonts w:ascii="Times New Roman" w:hAnsi="Times New Roman"/>
          <w:sz w:val="24"/>
          <w:szCs w:val="24"/>
        </w:rPr>
        <w:t>C. The median (</w:t>
      </w:r>
      <w:r>
        <w:rPr>
          <w:rFonts w:ascii="Times New Roman" w:hAnsi="Times New Roman"/>
          <w:sz w:val="24"/>
          <w:szCs w:val="24"/>
        </w:rPr>
        <w:t>red line</w:t>
      </w:r>
      <w:r w:rsidRPr="00961950">
        <w:rPr>
          <w:rFonts w:ascii="Times New Roman" w:hAnsi="Times New Roman"/>
          <w:sz w:val="24"/>
          <w:szCs w:val="24"/>
        </w:rPr>
        <w:t xml:space="preserve">), 68% (dark </w:t>
      </w:r>
      <w:r>
        <w:rPr>
          <w:rFonts w:ascii="Times New Roman" w:hAnsi="Times New Roman"/>
          <w:sz w:val="24"/>
          <w:szCs w:val="24"/>
        </w:rPr>
        <w:t>red</w:t>
      </w:r>
      <w:r w:rsidRPr="00961950">
        <w:rPr>
          <w:rFonts w:ascii="Times New Roman" w:hAnsi="Times New Roman"/>
          <w:sz w:val="24"/>
          <w:szCs w:val="24"/>
        </w:rPr>
        <w:t xml:space="preserve"> band) and 95% (light </w:t>
      </w:r>
      <w:r>
        <w:rPr>
          <w:rFonts w:ascii="Times New Roman" w:hAnsi="Times New Roman"/>
          <w:sz w:val="24"/>
          <w:szCs w:val="24"/>
        </w:rPr>
        <w:t xml:space="preserve">red </w:t>
      </w:r>
      <w:r w:rsidRPr="00961950">
        <w:rPr>
          <w:rFonts w:ascii="Times New Roman" w:hAnsi="Times New Roman"/>
          <w:sz w:val="24"/>
          <w:szCs w:val="24"/>
        </w:rPr>
        <w:t>band) confidence intervals</w:t>
      </w:r>
      <w:r>
        <w:rPr>
          <w:rFonts w:ascii="Times New Roman" w:hAnsi="Times New Roman"/>
          <w:sz w:val="24"/>
          <w:szCs w:val="24"/>
        </w:rPr>
        <w:t xml:space="preserve"> are plotted</w:t>
      </w:r>
      <w:r w:rsidRPr="00961950">
        <w:rPr>
          <w:rFonts w:ascii="Times New Roman" w:hAnsi="Times New Roman"/>
          <w:sz w:val="24"/>
          <w:szCs w:val="24"/>
        </w:rPr>
        <w:t>. Plotted with a compilation of published δ</w:t>
      </w:r>
      <w:r w:rsidRPr="00961950">
        <w:rPr>
          <w:rFonts w:ascii="Times New Roman" w:hAnsi="Times New Roman"/>
          <w:sz w:val="24"/>
          <w:szCs w:val="24"/>
          <w:vertAlign w:val="superscript"/>
        </w:rPr>
        <w:t>11</w:t>
      </w:r>
      <w:r w:rsidRPr="00961950">
        <w:rPr>
          <w:rFonts w:ascii="Times New Roman" w:hAnsi="Times New Roman"/>
          <w:sz w:val="24"/>
          <w:szCs w:val="24"/>
        </w:rPr>
        <w:t>B</w:t>
      </w:r>
      <w:r w:rsidRPr="00961950">
        <w:rPr>
          <w:rFonts w:ascii="Times New Roman" w:hAnsi="Times New Roman"/>
          <w:sz w:val="24"/>
          <w:szCs w:val="24"/>
          <w:vertAlign w:val="subscript"/>
        </w:rPr>
        <w:t>sw</w:t>
      </w:r>
      <w:r w:rsidRPr="00961950">
        <w:rPr>
          <w:rFonts w:ascii="Times New Roman" w:hAnsi="Times New Roman"/>
          <w:sz w:val="24"/>
          <w:szCs w:val="24"/>
        </w:rPr>
        <w:t xml:space="preserve"> records. Seawater composition reconstructed from foraminifera depth profiles (</w:t>
      </w:r>
      <w:r>
        <w:rPr>
          <w:rFonts w:ascii="Times New Roman" w:hAnsi="Times New Roman"/>
          <w:sz w:val="24"/>
          <w:szCs w:val="24"/>
        </w:rPr>
        <w:t xml:space="preserve">light </w:t>
      </w:r>
      <w:r w:rsidRPr="00961950">
        <w:rPr>
          <w:rFonts w:ascii="Times New Roman" w:hAnsi="Times New Roman"/>
          <w:sz w:val="24"/>
          <w:szCs w:val="24"/>
        </w:rPr>
        <w:t xml:space="preserve">blue </w:t>
      </w:r>
      <w:r>
        <w:rPr>
          <w:rFonts w:ascii="Times New Roman" w:hAnsi="Times New Roman"/>
          <w:sz w:val="24"/>
          <w:szCs w:val="24"/>
        </w:rPr>
        <w:t>squares</w:t>
      </w:r>
      <w:r w:rsidRPr="00961950">
        <w:rPr>
          <w:rFonts w:ascii="Times New Roman" w:hAnsi="Times New Roman"/>
          <w:sz w:val="24"/>
          <w:szCs w:val="24"/>
        </w:rPr>
        <w:t xml:space="preserve"> and </w:t>
      </w:r>
      <w:r>
        <w:rPr>
          <w:rFonts w:ascii="Times New Roman" w:hAnsi="Times New Roman"/>
          <w:sz w:val="24"/>
          <w:szCs w:val="24"/>
        </w:rPr>
        <w:t>dark blue cross</w:t>
      </w:r>
      <w:r w:rsidRPr="00961950">
        <w:rPr>
          <w:rFonts w:ascii="Times New Roman" w:hAnsi="Times New Roman"/>
          <w:sz w:val="24"/>
          <w:szCs w:val="24"/>
        </w:rPr>
        <w:t xml:space="preserve">) from </w:t>
      </w:r>
      <w:r>
        <w:rPr>
          <w:rFonts w:ascii="Times New Roman" w:hAnsi="Times New Roman"/>
          <w:noProof/>
          <w:sz w:val="24"/>
          <w:szCs w:val="24"/>
        </w:rPr>
        <w:t>Pearson and Palmer</w:t>
      </w:r>
      <w:r w:rsidRPr="00961950">
        <w:rPr>
          <w:rFonts w:ascii="Times New Roman" w:hAnsi="Times New Roman"/>
          <w:noProof/>
          <w:sz w:val="24"/>
          <w:szCs w:val="24"/>
        </w:rPr>
        <w:t xml:space="preserve"> (2000)</w:t>
      </w:r>
      <w:r w:rsidRPr="00961950">
        <w:rPr>
          <w:rFonts w:ascii="Times New Roman" w:hAnsi="Times New Roman"/>
          <w:sz w:val="24"/>
          <w:szCs w:val="24"/>
        </w:rPr>
        <w:t xml:space="preserve"> and </w:t>
      </w:r>
      <w:r>
        <w:rPr>
          <w:rFonts w:ascii="Times New Roman" w:hAnsi="Times New Roman"/>
          <w:noProof/>
          <w:sz w:val="24"/>
          <w:szCs w:val="24"/>
        </w:rPr>
        <w:t>Foster et al.</w:t>
      </w:r>
      <w:r w:rsidRPr="00961950">
        <w:rPr>
          <w:rFonts w:ascii="Times New Roman" w:hAnsi="Times New Roman"/>
          <w:noProof/>
          <w:sz w:val="24"/>
          <w:szCs w:val="24"/>
        </w:rPr>
        <w:t xml:space="preserve"> (2012)</w:t>
      </w:r>
      <w:r w:rsidRPr="00961950">
        <w:rPr>
          <w:rFonts w:ascii="Times New Roman" w:hAnsi="Times New Roman"/>
          <w:sz w:val="24"/>
          <w:szCs w:val="24"/>
        </w:rPr>
        <w:t xml:space="preserve"> respectively, numerical modelling (green line), with </w:t>
      </w:r>
      <w:r>
        <w:rPr>
          <w:rFonts w:ascii="Times New Roman" w:hAnsi="Times New Roman"/>
          <w:sz w:val="24"/>
          <w:szCs w:val="24"/>
        </w:rPr>
        <w:t xml:space="preserve">additional </w:t>
      </w:r>
      <w:r w:rsidRPr="00961950">
        <w:rPr>
          <w:rFonts w:ascii="Times New Roman" w:hAnsi="Times New Roman"/>
          <w:sz w:val="24"/>
          <w:szCs w:val="24"/>
        </w:rPr>
        <w:t xml:space="preserve">green lines shows ± 1 ‰ confidence interval </w:t>
      </w:r>
      <w:r>
        <w:rPr>
          <w:rFonts w:ascii="Times New Roman" w:hAnsi="Times New Roman"/>
          <w:noProof/>
          <w:sz w:val="24"/>
          <w:szCs w:val="24"/>
        </w:rPr>
        <w:t>(Lemarchand et al., 200</w:t>
      </w:r>
      <w:r w:rsidR="00102A50">
        <w:rPr>
          <w:rFonts w:ascii="Times New Roman" w:hAnsi="Times New Roman"/>
          <w:noProof/>
          <w:sz w:val="24"/>
          <w:szCs w:val="24"/>
        </w:rPr>
        <w:t>0</w:t>
      </w:r>
      <w:r w:rsidRPr="00961950">
        <w:rPr>
          <w:rFonts w:ascii="Times New Roman" w:hAnsi="Times New Roman"/>
          <w:noProof/>
          <w:sz w:val="24"/>
          <w:szCs w:val="24"/>
        </w:rPr>
        <w:t>)</w:t>
      </w:r>
      <w:r>
        <w:rPr>
          <w:rFonts w:ascii="Times New Roman" w:hAnsi="Times New Roman"/>
          <w:sz w:val="24"/>
          <w:szCs w:val="24"/>
        </w:rPr>
        <w:t xml:space="preserve"> and</w:t>
      </w:r>
      <w:r w:rsidRPr="00961950">
        <w:rPr>
          <w:rFonts w:ascii="Times New Roman" w:hAnsi="Times New Roman"/>
          <w:sz w:val="24"/>
          <w:szCs w:val="24"/>
        </w:rPr>
        <w:t xml:space="preserve"> benthic δ</w:t>
      </w:r>
      <w:r w:rsidRPr="00961950">
        <w:rPr>
          <w:rFonts w:ascii="Times New Roman" w:hAnsi="Times New Roman"/>
          <w:sz w:val="24"/>
          <w:szCs w:val="24"/>
          <w:vertAlign w:val="superscript"/>
        </w:rPr>
        <w:t>11</w:t>
      </w:r>
      <w:r w:rsidRPr="00961950">
        <w:rPr>
          <w:rFonts w:ascii="Times New Roman" w:hAnsi="Times New Roman"/>
          <w:sz w:val="24"/>
          <w:szCs w:val="24"/>
        </w:rPr>
        <w:t xml:space="preserve">B (purple </w:t>
      </w:r>
      <w:r>
        <w:rPr>
          <w:rFonts w:ascii="Times New Roman" w:hAnsi="Times New Roman"/>
          <w:sz w:val="24"/>
          <w:szCs w:val="24"/>
        </w:rPr>
        <w:t xml:space="preserve">diamonds and </w:t>
      </w:r>
      <w:r w:rsidR="00B91062">
        <w:rPr>
          <w:rFonts w:ascii="Times New Roman" w:hAnsi="Times New Roman"/>
          <w:sz w:val="24"/>
          <w:szCs w:val="24"/>
        </w:rPr>
        <w:t>dark purple line</w:t>
      </w:r>
      <w:r w:rsidR="00DE5A23">
        <w:rPr>
          <w:rFonts w:ascii="Times New Roman" w:hAnsi="Times New Roman"/>
          <w:sz w:val="24"/>
          <w:szCs w:val="24"/>
        </w:rPr>
        <w:t xml:space="preserve"> showing 5pt moving average</w:t>
      </w:r>
      <w:r w:rsidR="00B91062">
        <w:rPr>
          <w:rFonts w:ascii="Times New Roman" w:hAnsi="Times New Roman"/>
          <w:sz w:val="24"/>
          <w:szCs w:val="24"/>
        </w:rPr>
        <w:t xml:space="preserve"> is using the fractionation factor of Klochko et al., 2006, light purple line</w:t>
      </w:r>
      <w:r w:rsidR="00DE5A23">
        <w:rPr>
          <w:rFonts w:ascii="Times New Roman" w:hAnsi="Times New Roman"/>
          <w:sz w:val="24"/>
          <w:szCs w:val="24"/>
        </w:rPr>
        <w:t xml:space="preserve"> showing 5pt moving average</w:t>
      </w:r>
      <w:r w:rsidR="00B91062">
        <w:rPr>
          <w:rFonts w:ascii="Times New Roman" w:hAnsi="Times New Roman"/>
          <w:sz w:val="24"/>
          <w:szCs w:val="24"/>
        </w:rPr>
        <w:t xml:space="preserve"> using an empirical calibration</w:t>
      </w:r>
      <w:r w:rsidRPr="00961950">
        <w:rPr>
          <w:rFonts w:ascii="Times New Roman" w:hAnsi="Times New Roman"/>
          <w:sz w:val="24"/>
          <w:szCs w:val="24"/>
        </w:rPr>
        <w:t xml:space="preserve">) from Raitzsch and </w:t>
      </w:r>
      <w:r>
        <w:rPr>
          <w:rFonts w:ascii="Times New Roman" w:hAnsi="Times New Roman"/>
          <w:sz w:val="24"/>
          <w:szCs w:val="24"/>
        </w:rPr>
        <w:t>Hönisch</w:t>
      </w:r>
      <w:r w:rsidRPr="00961950">
        <w:rPr>
          <w:rFonts w:ascii="Times New Roman" w:hAnsi="Times New Roman"/>
          <w:sz w:val="24"/>
          <w:szCs w:val="24"/>
        </w:rPr>
        <w:t xml:space="preserve"> </w:t>
      </w:r>
      <w:r>
        <w:rPr>
          <w:rFonts w:ascii="Times New Roman" w:hAnsi="Times New Roman"/>
          <w:sz w:val="24"/>
          <w:szCs w:val="24"/>
        </w:rPr>
        <w:t>(</w:t>
      </w:r>
      <w:r w:rsidRPr="00961950">
        <w:rPr>
          <w:rFonts w:ascii="Times New Roman" w:hAnsi="Times New Roman"/>
          <w:sz w:val="24"/>
          <w:szCs w:val="24"/>
        </w:rPr>
        <w:t>2013</w:t>
      </w:r>
      <w:r>
        <w:rPr>
          <w:rFonts w:ascii="Times New Roman" w:hAnsi="Times New Roman"/>
          <w:sz w:val="24"/>
          <w:szCs w:val="24"/>
        </w:rPr>
        <w:t>)</w:t>
      </w:r>
      <w:r w:rsidRPr="00961950">
        <w:rPr>
          <w:rFonts w:ascii="Times New Roman" w:hAnsi="Times New Roman"/>
          <w:sz w:val="24"/>
          <w:szCs w:val="24"/>
        </w:rPr>
        <w:t xml:space="preserve">. </w:t>
      </w:r>
      <w:r>
        <w:rPr>
          <w:rStyle w:val="st"/>
          <w:rFonts w:ascii="Times New Roman" w:hAnsi="Times New Roman"/>
          <w:sz w:val="24"/>
          <w:szCs w:val="24"/>
        </w:rPr>
        <w:t>A</w:t>
      </w:r>
      <w:r w:rsidRPr="00346823">
        <w:rPr>
          <w:rFonts w:ascii="Times New Roman" w:hAnsi="Times New Roman"/>
          <w:sz w:val="24"/>
          <w:szCs w:val="24"/>
        </w:rPr>
        <w:t>ll the published δ</w:t>
      </w:r>
      <w:r w:rsidRPr="00346823">
        <w:rPr>
          <w:rFonts w:ascii="Times New Roman" w:hAnsi="Times New Roman"/>
          <w:sz w:val="24"/>
          <w:szCs w:val="24"/>
          <w:vertAlign w:val="superscript"/>
        </w:rPr>
        <w:t>11</w:t>
      </w:r>
      <w:r w:rsidRPr="00346823">
        <w:rPr>
          <w:rFonts w:ascii="Times New Roman" w:hAnsi="Times New Roman"/>
          <w:sz w:val="24"/>
          <w:szCs w:val="24"/>
        </w:rPr>
        <w:t>B</w:t>
      </w:r>
      <w:r w:rsidRPr="00346823">
        <w:rPr>
          <w:rFonts w:ascii="Times New Roman" w:hAnsi="Times New Roman"/>
          <w:sz w:val="24"/>
          <w:szCs w:val="24"/>
          <w:vertAlign w:val="subscript"/>
        </w:rPr>
        <w:t>sw</w:t>
      </w:r>
      <w:r w:rsidRPr="00346823">
        <w:rPr>
          <w:rFonts w:ascii="Times New Roman" w:hAnsi="Times New Roman"/>
          <w:sz w:val="24"/>
          <w:szCs w:val="24"/>
        </w:rPr>
        <w:t xml:space="preserve"> curves</w:t>
      </w:r>
      <w:r>
        <w:rPr>
          <w:rFonts w:ascii="Times New Roman" w:hAnsi="Times New Roman"/>
          <w:sz w:val="24"/>
          <w:szCs w:val="24"/>
        </w:rPr>
        <w:t xml:space="preserve"> are adjusted</w:t>
      </w:r>
      <w:r w:rsidRPr="00346823">
        <w:rPr>
          <w:rFonts w:ascii="Times New Roman" w:hAnsi="Times New Roman"/>
          <w:sz w:val="24"/>
          <w:szCs w:val="24"/>
        </w:rPr>
        <w:t xml:space="preserve"> so that at t=0, the isotopic composition is equal to the modern (39.61 </w:t>
      </w:r>
      <w:r w:rsidRPr="00346823">
        <w:rPr>
          <w:rStyle w:val="st"/>
          <w:rFonts w:ascii="Times New Roman" w:hAnsi="Times New Roman"/>
          <w:sz w:val="24"/>
          <w:szCs w:val="24"/>
        </w:rPr>
        <w:t>‰)</w:t>
      </w:r>
      <w:r w:rsidRPr="00346823">
        <w:rPr>
          <w:rFonts w:ascii="Times New Roman" w:hAnsi="Times New Roman"/>
          <w:sz w:val="24"/>
          <w:szCs w:val="24"/>
        </w:rPr>
        <w:t>.</w:t>
      </w:r>
    </w:p>
    <w:p w14:paraId="604225C3" w14:textId="2CAD332C" w:rsidR="00961950" w:rsidRPr="005C7D43" w:rsidRDefault="005776A4" w:rsidP="005C7D43">
      <w:pPr>
        <w:pStyle w:val="Caption"/>
        <w:spacing w:line="360" w:lineRule="auto"/>
        <w:rPr>
          <w:rFonts w:ascii="Helvetica" w:hAnsi="Helvetica"/>
          <w:sz w:val="24"/>
          <w:szCs w:val="24"/>
        </w:rPr>
      </w:pPr>
      <w:r>
        <w:rPr>
          <w:rFonts w:ascii="Times New Roman" w:hAnsi="Times New Roman"/>
          <w:sz w:val="24"/>
          <w:szCs w:val="24"/>
          <w:lang w:val="en-US"/>
        </w:rPr>
        <w:t xml:space="preserve"> </w:t>
      </w:r>
      <w:r w:rsidR="00C846D5" w:rsidRPr="005C7D43">
        <w:rPr>
          <w:rFonts w:ascii="Times New Roman" w:hAnsi="Times New Roman"/>
          <w:sz w:val="24"/>
          <w:szCs w:val="24"/>
        </w:rPr>
        <w:t>Figure 1</w:t>
      </w:r>
      <w:r w:rsidR="00876B1F">
        <w:rPr>
          <w:rFonts w:ascii="Times New Roman" w:hAnsi="Times New Roman"/>
          <w:sz w:val="24"/>
          <w:szCs w:val="24"/>
        </w:rPr>
        <w:t>2</w:t>
      </w:r>
      <w:r w:rsidR="00C846D5" w:rsidRPr="005C7D43">
        <w:rPr>
          <w:rFonts w:ascii="Times New Roman" w:hAnsi="Times New Roman"/>
          <w:sz w:val="24"/>
          <w:szCs w:val="24"/>
        </w:rPr>
        <w:t>: a) The δ</w:t>
      </w:r>
      <w:r w:rsidR="00C846D5" w:rsidRPr="005C7D43">
        <w:rPr>
          <w:rFonts w:ascii="Times New Roman" w:hAnsi="Times New Roman"/>
          <w:sz w:val="24"/>
          <w:szCs w:val="24"/>
          <w:vertAlign w:val="superscript"/>
        </w:rPr>
        <w:t>11</w:t>
      </w:r>
      <w:r w:rsidR="00C846D5" w:rsidRPr="005C7D43">
        <w:rPr>
          <w:rFonts w:ascii="Times New Roman" w:hAnsi="Times New Roman"/>
          <w:sz w:val="24"/>
          <w:szCs w:val="24"/>
        </w:rPr>
        <w:t>B</w:t>
      </w:r>
      <w:r w:rsidR="00C846D5" w:rsidRPr="005C7D43">
        <w:rPr>
          <w:rFonts w:ascii="Times New Roman" w:hAnsi="Times New Roman"/>
          <w:sz w:val="24"/>
          <w:szCs w:val="24"/>
          <w:vertAlign w:val="subscript"/>
        </w:rPr>
        <w:t>sw</w:t>
      </w:r>
      <w:r w:rsidR="00C846D5" w:rsidRPr="005C7D43">
        <w:rPr>
          <w:rFonts w:ascii="Times New Roman" w:hAnsi="Times New Roman"/>
          <w:sz w:val="24"/>
          <w:szCs w:val="24"/>
        </w:rPr>
        <w:t xml:space="preserve"> curve </w:t>
      </w:r>
      <w:r w:rsidR="00325246">
        <w:rPr>
          <w:rFonts w:ascii="Times New Roman" w:hAnsi="Times New Roman"/>
          <w:sz w:val="24"/>
          <w:szCs w:val="24"/>
        </w:rPr>
        <w:t>from this study plotted with other trace element isotopic records</w:t>
      </w:r>
      <w:r w:rsidR="00944A75">
        <w:rPr>
          <w:rFonts w:ascii="Times New Roman" w:hAnsi="Times New Roman"/>
          <w:sz w:val="24"/>
          <w:szCs w:val="24"/>
        </w:rPr>
        <w:t>. On the</w:t>
      </w:r>
      <w:r w:rsidR="00944A75" w:rsidRPr="005C7D43">
        <w:rPr>
          <w:rFonts w:ascii="Times New Roman" w:hAnsi="Times New Roman"/>
          <w:sz w:val="24"/>
          <w:szCs w:val="24"/>
        </w:rPr>
        <w:t xml:space="preserve"> δ</w:t>
      </w:r>
      <w:r w:rsidR="00944A75" w:rsidRPr="005C7D43">
        <w:rPr>
          <w:rFonts w:ascii="Times New Roman" w:hAnsi="Times New Roman"/>
          <w:sz w:val="24"/>
          <w:szCs w:val="24"/>
          <w:vertAlign w:val="superscript"/>
        </w:rPr>
        <w:t>11</w:t>
      </w:r>
      <w:r w:rsidR="00944A75" w:rsidRPr="005C7D43">
        <w:rPr>
          <w:rFonts w:ascii="Times New Roman" w:hAnsi="Times New Roman"/>
          <w:sz w:val="24"/>
          <w:szCs w:val="24"/>
        </w:rPr>
        <w:t>B</w:t>
      </w:r>
      <w:r w:rsidR="00944A75" w:rsidRPr="005C7D43">
        <w:rPr>
          <w:rFonts w:ascii="Times New Roman" w:hAnsi="Times New Roman"/>
          <w:sz w:val="24"/>
          <w:szCs w:val="24"/>
          <w:vertAlign w:val="subscript"/>
        </w:rPr>
        <w:t>sw</w:t>
      </w:r>
      <w:r w:rsidR="00944A75" w:rsidRPr="005C7D43">
        <w:rPr>
          <w:rFonts w:ascii="Times New Roman" w:hAnsi="Times New Roman"/>
          <w:sz w:val="24"/>
          <w:szCs w:val="24"/>
        </w:rPr>
        <w:t xml:space="preserve"> </w:t>
      </w:r>
      <w:r w:rsidR="00944A75">
        <w:rPr>
          <w:rFonts w:ascii="Times New Roman" w:hAnsi="Times New Roman"/>
          <w:sz w:val="24"/>
          <w:szCs w:val="24"/>
        </w:rPr>
        <w:t xml:space="preserve">panel </w:t>
      </w:r>
      <w:r w:rsidRPr="005C7D43">
        <w:rPr>
          <w:rFonts w:ascii="Times New Roman" w:hAnsi="Times New Roman"/>
          <w:sz w:val="24"/>
          <w:szCs w:val="24"/>
          <w:lang w:val="en-US"/>
        </w:rPr>
        <w:t>the darker shaded area highlights the 68% confidence interval and the lighter interval highlights the 95% confidence interval)</w:t>
      </w:r>
      <w:r w:rsidR="005F0C90" w:rsidRPr="005C7D43">
        <w:rPr>
          <w:rFonts w:ascii="Times New Roman" w:hAnsi="Times New Roman"/>
          <w:sz w:val="24"/>
          <w:szCs w:val="24"/>
        </w:rPr>
        <w:t xml:space="preserve">, </w:t>
      </w:r>
      <w:r w:rsidR="00961950" w:rsidRPr="005C7D43">
        <w:rPr>
          <w:rFonts w:ascii="Times New Roman" w:hAnsi="Times New Roman"/>
          <w:sz w:val="24"/>
          <w:szCs w:val="24"/>
          <w:lang w:val="en-US"/>
        </w:rPr>
        <w:sym w:font="Symbol" w:char="0064"/>
      </w:r>
      <w:r w:rsidR="00961950" w:rsidRPr="005C7D43">
        <w:rPr>
          <w:rFonts w:ascii="Times New Roman" w:hAnsi="Times New Roman"/>
          <w:sz w:val="24"/>
          <w:szCs w:val="24"/>
          <w:vertAlign w:val="superscript"/>
          <w:lang w:val="en-US"/>
        </w:rPr>
        <w:t>26</w:t>
      </w:r>
      <w:r w:rsidR="00961950" w:rsidRPr="005C7D43">
        <w:rPr>
          <w:rFonts w:ascii="Times New Roman" w:hAnsi="Times New Roman"/>
          <w:sz w:val="24"/>
          <w:szCs w:val="24"/>
          <w:lang w:val="en-US"/>
        </w:rPr>
        <w:t>Mg</w:t>
      </w:r>
      <w:r w:rsidR="00961950" w:rsidRPr="005C7D43">
        <w:rPr>
          <w:rFonts w:ascii="Times New Roman" w:hAnsi="Times New Roman"/>
          <w:sz w:val="24"/>
          <w:szCs w:val="24"/>
          <w:vertAlign w:val="subscript"/>
          <w:lang w:val="en-US"/>
        </w:rPr>
        <w:t>sw</w:t>
      </w:r>
      <w:r w:rsidR="00961950" w:rsidRPr="005C7D43">
        <w:rPr>
          <w:rFonts w:ascii="Times New Roman" w:hAnsi="Times New Roman"/>
          <w:sz w:val="24"/>
          <w:szCs w:val="24"/>
          <w:lang w:val="en-US"/>
        </w:rPr>
        <w:t xml:space="preserve"> record from </w:t>
      </w:r>
      <w:r w:rsidR="001E2047" w:rsidRPr="005C7D43">
        <w:rPr>
          <w:rFonts w:ascii="Times New Roman" w:hAnsi="Times New Roman"/>
          <w:noProof/>
          <w:sz w:val="24"/>
          <w:szCs w:val="24"/>
          <w:lang w:val="en-US"/>
        </w:rPr>
        <w:t>Pogge von Strandmann et al.</w:t>
      </w:r>
      <w:r w:rsidR="00961950" w:rsidRPr="005C7D43">
        <w:rPr>
          <w:rFonts w:ascii="Times New Roman" w:hAnsi="Times New Roman"/>
          <w:noProof/>
          <w:sz w:val="24"/>
          <w:szCs w:val="24"/>
          <w:lang w:val="en-US"/>
        </w:rPr>
        <w:t xml:space="preserve"> (2014)</w:t>
      </w:r>
      <w:r w:rsidR="002E6BF2" w:rsidRPr="005C7D43">
        <w:rPr>
          <w:rFonts w:ascii="Times New Roman" w:hAnsi="Times New Roman"/>
          <w:noProof/>
          <w:sz w:val="24"/>
          <w:szCs w:val="24"/>
          <w:lang w:val="en-US"/>
        </w:rPr>
        <w:t xml:space="preserve"> (error bars are </w:t>
      </w:r>
      <w:r w:rsidR="002E6BF2" w:rsidRPr="005C7D43">
        <w:rPr>
          <w:rFonts w:ascii="Times New Roman" w:hAnsi="Times New Roman"/>
          <w:sz w:val="24"/>
          <w:szCs w:val="24"/>
        </w:rPr>
        <w:t>± 0.28 ‰ and</w:t>
      </w:r>
      <w:r w:rsidR="002E6BF2" w:rsidRPr="005C7D43">
        <w:rPr>
          <w:rFonts w:ascii="Times New Roman" w:hAnsi="Times New Roman"/>
          <w:noProof/>
          <w:sz w:val="24"/>
          <w:szCs w:val="24"/>
          <w:lang w:val="en-US"/>
        </w:rPr>
        <w:t xml:space="preserve"> </w:t>
      </w:r>
      <w:r w:rsidR="002E6BF2" w:rsidRPr="005C7D43">
        <w:rPr>
          <w:rFonts w:ascii="Times New Roman" w:hAnsi="Times New Roman"/>
          <w:sz w:val="24"/>
          <w:szCs w:val="24"/>
        </w:rPr>
        <w:t xml:space="preserve">include analytical uncertainty and scatter due to the spread in modern </w:t>
      </w:r>
      <w:r w:rsidR="002E6BF2" w:rsidRPr="005C7D43">
        <w:rPr>
          <w:rFonts w:ascii="Times New Roman" w:hAnsi="Times New Roman"/>
          <w:i/>
          <w:sz w:val="24"/>
          <w:szCs w:val="24"/>
        </w:rPr>
        <w:t>O. universa</w:t>
      </w:r>
      <w:r w:rsidR="002E6BF2" w:rsidRPr="005C7D43">
        <w:rPr>
          <w:rFonts w:ascii="Times New Roman" w:hAnsi="Times New Roman"/>
          <w:sz w:val="24"/>
          <w:szCs w:val="24"/>
        </w:rPr>
        <w:t xml:space="preserve"> and the offset between the two analysed species)</w:t>
      </w:r>
      <w:r w:rsidR="005F0C90" w:rsidRPr="005C7D43">
        <w:rPr>
          <w:rFonts w:ascii="Times New Roman" w:hAnsi="Times New Roman"/>
          <w:sz w:val="24"/>
          <w:szCs w:val="24"/>
          <w:lang w:val="en-US"/>
        </w:rPr>
        <w:t>,</w:t>
      </w:r>
      <w:r w:rsidR="006C3659" w:rsidRPr="005C7D43">
        <w:rPr>
          <w:rFonts w:ascii="Times New Roman" w:hAnsi="Times New Roman"/>
          <w:sz w:val="24"/>
          <w:szCs w:val="24"/>
          <w:lang w:val="en-US"/>
        </w:rPr>
        <w:t xml:space="preserve"> </w:t>
      </w:r>
      <w:r w:rsidR="006C3659" w:rsidRPr="005C7D43">
        <w:rPr>
          <w:rFonts w:ascii="Times New Roman" w:hAnsi="Times New Roman"/>
          <w:sz w:val="24"/>
          <w:szCs w:val="24"/>
          <w:lang w:val="en-US"/>
        </w:rPr>
        <w:sym w:font="Symbol" w:char="0064"/>
      </w:r>
      <w:r w:rsidR="006C3659" w:rsidRPr="005C7D43">
        <w:rPr>
          <w:rFonts w:ascii="Times New Roman" w:hAnsi="Times New Roman"/>
          <w:sz w:val="24"/>
          <w:szCs w:val="24"/>
          <w:vertAlign w:val="superscript"/>
          <w:lang w:val="en-US"/>
        </w:rPr>
        <w:t>44/40</w:t>
      </w:r>
      <w:r w:rsidR="006C3659" w:rsidRPr="005C7D43">
        <w:rPr>
          <w:rFonts w:ascii="Times New Roman" w:hAnsi="Times New Roman"/>
          <w:sz w:val="24"/>
          <w:szCs w:val="24"/>
          <w:lang w:val="en-US"/>
        </w:rPr>
        <w:t>Ca</w:t>
      </w:r>
      <w:r w:rsidR="006C3659" w:rsidRPr="005C7D43">
        <w:rPr>
          <w:rFonts w:ascii="Times New Roman" w:hAnsi="Times New Roman"/>
          <w:sz w:val="24"/>
          <w:szCs w:val="24"/>
          <w:vertAlign w:val="subscript"/>
          <w:lang w:val="en-US"/>
        </w:rPr>
        <w:t xml:space="preserve">sw </w:t>
      </w:r>
      <w:r w:rsidR="006C3659" w:rsidRPr="005C7D43">
        <w:rPr>
          <w:rFonts w:ascii="Times New Roman" w:hAnsi="Times New Roman"/>
          <w:sz w:val="24"/>
          <w:szCs w:val="24"/>
          <w:lang w:val="en-US"/>
        </w:rPr>
        <w:t xml:space="preserve">record from </w:t>
      </w:r>
      <w:r w:rsidR="001E2047" w:rsidRPr="005C7D43">
        <w:rPr>
          <w:rFonts w:ascii="Times New Roman" w:hAnsi="Times New Roman"/>
          <w:noProof/>
          <w:sz w:val="24"/>
          <w:szCs w:val="24"/>
          <w:lang w:val="en-US"/>
        </w:rPr>
        <w:t>Griffith et al.</w:t>
      </w:r>
      <w:r w:rsidR="006C3659" w:rsidRPr="005C7D43">
        <w:rPr>
          <w:rFonts w:ascii="Times New Roman" w:hAnsi="Times New Roman"/>
          <w:noProof/>
          <w:sz w:val="24"/>
          <w:szCs w:val="24"/>
          <w:lang w:val="en-US"/>
        </w:rPr>
        <w:t xml:space="preserve"> (2008</w:t>
      </w:r>
      <w:r w:rsidR="005F0C90" w:rsidRPr="005C7D43">
        <w:rPr>
          <w:rFonts w:ascii="Times New Roman" w:hAnsi="Times New Roman"/>
          <w:noProof/>
          <w:sz w:val="24"/>
          <w:szCs w:val="24"/>
          <w:lang w:val="en-US"/>
        </w:rPr>
        <w:t>)</w:t>
      </w:r>
      <w:r w:rsidR="002E6BF2" w:rsidRPr="005C7D43">
        <w:rPr>
          <w:rFonts w:ascii="Times New Roman" w:hAnsi="Times New Roman"/>
          <w:noProof/>
          <w:sz w:val="24"/>
          <w:szCs w:val="24"/>
          <w:lang w:val="en-US"/>
        </w:rPr>
        <w:t xml:space="preserve"> (error bars show </w:t>
      </w:r>
      <w:r w:rsidR="002E6BF2" w:rsidRPr="005C7D43">
        <w:rPr>
          <w:rFonts w:ascii="Times New Roman" w:hAnsi="Times New Roman"/>
          <w:color w:val="000000"/>
          <w:sz w:val="24"/>
          <w:szCs w:val="24"/>
          <w:lang w:val="en-US"/>
        </w:rPr>
        <w:t xml:space="preserve">2 </w:t>
      </w:r>
      <w:r w:rsidR="002E6BF2" w:rsidRPr="005C7D43">
        <w:rPr>
          <w:rFonts w:ascii="Times New Roman" w:hAnsi="Times New Roman"/>
          <w:sz w:val="24"/>
          <w:szCs w:val="24"/>
        </w:rPr>
        <w:sym w:font="Symbol" w:char="F073"/>
      </w:r>
      <w:r w:rsidR="002E6BF2" w:rsidRPr="005C7D43">
        <w:rPr>
          <w:rFonts w:ascii="Times New Roman" w:hAnsi="Times New Roman"/>
          <w:sz w:val="24"/>
          <w:szCs w:val="24"/>
        </w:rPr>
        <w:t xml:space="preserve"> uncertainty)</w:t>
      </w:r>
      <w:r w:rsidR="005F0C90" w:rsidRPr="005C7D43">
        <w:rPr>
          <w:rFonts w:ascii="Times New Roman" w:hAnsi="Times New Roman"/>
          <w:noProof/>
          <w:sz w:val="24"/>
          <w:szCs w:val="24"/>
          <w:lang w:val="en-US"/>
        </w:rPr>
        <w:t xml:space="preserve"> and </w:t>
      </w:r>
      <w:r w:rsidR="00961950" w:rsidRPr="005C7D43">
        <w:rPr>
          <w:rFonts w:ascii="Times New Roman" w:hAnsi="Times New Roman"/>
          <w:sz w:val="24"/>
          <w:szCs w:val="24"/>
          <w:lang w:val="en-US"/>
        </w:rPr>
        <w:sym w:font="Symbol" w:char="0064"/>
      </w:r>
      <w:r w:rsidR="00961950" w:rsidRPr="005C7D43">
        <w:rPr>
          <w:rFonts w:ascii="Times New Roman" w:hAnsi="Times New Roman"/>
          <w:sz w:val="24"/>
          <w:szCs w:val="24"/>
          <w:vertAlign w:val="superscript"/>
          <w:lang w:val="en-US"/>
        </w:rPr>
        <w:t>7</w:t>
      </w:r>
      <w:r w:rsidR="00961950" w:rsidRPr="005C7D43">
        <w:rPr>
          <w:rFonts w:ascii="Times New Roman" w:hAnsi="Times New Roman"/>
          <w:sz w:val="24"/>
          <w:szCs w:val="24"/>
          <w:lang w:val="en-US"/>
        </w:rPr>
        <w:t>Li</w:t>
      </w:r>
      <w:r w:rsidR="00961950" w:rsidRPr="005C7D43">
        <w:rPr>
          <w:rFonts w:ascii="Times New Roman" w:hAnsi="Times New Roman"/>
          <w:sz w:val="24"/>
          <w:szCs w:val="24"/>
          <w:vertAlign w:val="subscript"/>
          <w:lang w:val="en-US"/>
        </w:rPr>
        <w:t>sw</w:t>
      </w:r>
      <w:r w:rsidR="00961950" w:rsidRPr="005C7D43">
        <w:rPr>
          <w:rFonts w:ascii="Times New Roman" w:hAnsi="Times New Roman"/>
          <w:sz w:val="24"/>
          <w:szCs w:val="24"/>
          <w:lang w:val="en-US"/>
        </w:rPr>
        <w:t xml:space="preserve"> record from </w:t>
      </w:r>
      <w:r w:rsidR="001E2047" w:rsidRPr="005C7D43">
        <w:rPr>
          <w:rFonts w:ascii="Times New Roman" w:hAnsi="Times New Roman"/>
          <w:noProof/>
          <w:sz w:val="24"/>
          <w:szCs w:val="24"/>
          <w:lang w:val="en-US"/>
        </w:rPr>
        <w:t>Misra and Froelich</w:t>
      </w:r>
      <w:r w:rsidR="00961950" w:rsidRPr="005C7D43">
        <w:rPr>
          <w:rFonts w:ascii="Times New Roman" w:hAnsi="Times New Roman"/>
          <w:noProof/>
          <w:sz w:val="24"/>
          <w:szCs w:val="24"/>
          <w:lang w:val="en-US"/>
        </w:rPr>
        <w:t xml:space="preserve"> (2012)</w:t>
      </w:r>
      <w:r w:rsidRPr="005C7D43">
        <w:rPr>
          <w:rFonts w:ascii="Times New Roman" w:hAnsi="Times New Roman"/>
          <w:noProof/>
          <w:sz w:val="24"/>
          <w:szCs w:val="24"/>
          <w:lang w:val="en-US"/>
        </w:rPr>
        <w:t xml:space="preserve"> (error bars show </w:t>
      </w:r>
      <w:r w:rsidRPr="005C7D43">
        <w:rPr>
          <w:rFonts w:ascii="Times New Roman" w:hAnsi="Times New Roman"/>
          <w:color w:val="000000"/>
          <w:sz w:val="24"/>
          <w:szCs w:val="24"/>
          <w:lang w:val="en-US"/>
        </w:rPr>
        <w:t xml:space="preserve">2 </w:t>
      </w:r>
      <w:r w:rsidRPr="005C7D43">
        <w:rPr>
          <w:rFonts w:ascii="Times New Roman" w:hAnsi="Times New Roman"/>
          <w:sz w:val="24"/>
          <w:szCs w:val="24"/>
        </w:rPr>
        <w:sym w:font="Symbol" w:char="F073"/>
      </w:r>
      <w:r w:rsidRPr="005C7D43">
        <w:rPr>
          <w:rFonts w:ascii="Times New Roman" w:hAnsi="Times New Roman"/>
          <w:sz w:val="24"/>
          <w:szCs w:val="24"/>
        </w:rPr>
        <w:t xml:space="preserve"> uncertainty)</w:t>
      </w:r>
      <w:r w:rsidR="00961950" w:rsidRPr="005C7D43">
        <w:rPr>
          <w:rFonts w:ascii="Times New Roman" w:hAnsi="Times New Roman"/>
          <w:sz w:val="24"/>
          <w:szCs w:val="24"/>
          <w:lang w:val="en-US"/>
        </w:rPr>
        <w:t xml:space="preserve">. </w:t>
      </w:r>
      <w:bookmarkEnd w:id="22"/>
      <w:r w:rsidR="00C357D8">
        <w:rPr>
          <w:rFonts w:ascii="Times New Roman" w:hAnsi="Times New Roman"/>
          <w:sz w:val="24"/>
          <w:szCs w:val="24"/>
          <w:lang w:val="en-US"/>
        </w:rPr>
        <w:t>Blue dashed lines show middle Miocene values, red dashed lines highlight the modern.</w:t>
      </w:r>
    </w:p>
    <w:p w14:paraId="64AFA1E0" w14:textId="4083F16A" w:rsidR="00961950" w:rsidRPr="00961950" w:rsidRDefault="00961950" w:rsidP="00961950">
      <w:pPr>
        <w:pStyle w:val="Caption"/>
        <w:spacing w:line="360" w:lineRule="auto"/>
        <w:rPr>
          <w:rFonts w:ascii="Times New Roman" w:hAnsi="Times New Roman"/>
          <w:sz w:val="24"/>
          <w:szCs w:val="24"/>
        </w:rPr>
      </w:pPr>
      <w:r w:rsidRPr="00961950">
        <w:rPr>
          <w:rFonts w:ascii="Times New Roman" w:hAnsi="Times New Roman"/>
          <w:sz w:val="24"/>
          <w:szCs w:val="24"/>
        </w:rPr>
        <w:t>Figure 1</w:t>
      </w:r>
      <w:r w:rsidR="00876B1F">
        <w:rPr>
          <w:rFonts w:ascii="Times New Roman" w:hAnsi="Times New Roman"/>
          <w:sz w:val="24"/>
          <w:szCs w:val="24"/>
        </w:rPr>
        <w:t>3</w:t>
      </w:r>
      <w:r w:rsidRPr="00961950">
        <w:rPr>
          <w:rFonts w:ascii="Times New Roman" w:hAnsi="Times New Roman"/>
          <w:sz w:val="24"/>
          <w:szCs w:val="24"/>
        </w:rPr>
        <w:t xml:space="preserve">: </w:t>
      </w:r>
      <w:r w:rsidRPr="00961950">
        <w:rPr>
          <w:rFonts w:ascii="Times New Roman" w:hAnsi="Times New Roman"/>
          <w:sz w:val="24"/>
          <w:szCs w:val="24"/>
          <w:lang w:val="en-US"/>
        </w:rPr>
        <w:t>Crossplots of the records of</w:t>
      </w:r>
      <w:r w:rsidR="006C3659">
        <w:rPr>
          <w:rFonts w:ascii="Times New Roman" w:hAnsi="Times New Roman"/>
          <w:sz w:val="24"/>
          <w:szCs w:val="24"/>
          <w:lang w:val="en-US"/>
        </w:rPr>
        <w:t xml:space="preserve"> </w:t>
      </w:r>
      <w:r w:rsidR="006C3659" w:rsidRPr="00961950">
        <w:rPr>
          <w:rFonts w:ascii="Times New Roman" w:hAnsi="Times New Roman"/>
          <w:sz w:val="24"/>
          <w:szCs w:val="24"/>
          <w:lang w:val="en-US"/>
        </w:rPr>
        <w:t>δ</w:t>
      </w:r>
      <w:r w:rsidR="006C3659" w:rsidRPr="00961950">
        <w:rPr>
          <w:rFonts w:ascii="Times New Roman" w:hAnsi="Times New Roman"/>
          <w:sz w:val="24"/>
          <w:szCs w:val="24"/>
          <w:vertAlign w:val="superscript"/>
          <w:lang w:val="en-US"/>
        </w:rPr>
        <w:t>11</w:t>
      </w:r>
      <w:r w:rsidR="006C3659" w:rsidRPr="00961950">
        <w:rPr>
          <w:rFonts w:ascii="Times New Roman" w:hAnsi="Times New Roman"/>
          <w:sz w:val="24"/>
          <w:szCs w:val="24"/>
          <w:lang w:val="en-US"/>
        </w:rPr>
        <w:t>B</w:t>
      </w:r>
      <w:r w:rsidR="006C3659" w:rsidRPr="00961950">
        <w:rPr>
          <w:rFonts w:ascii="Times New Roman" w:hAnsi="Times New Roman"/>
          <w:sz w:val="24"/>
          <w:szCs w:val="24"/>
          <w:vertAlign w:val="subscript"/>
          <w:lang w:val="en-US"/>
        </w:rPr>
        <w:t>sw</w:t>
      </w:r>
      <w:r w:rsidR="006C3659" w:rsidRPr="00961950">
        <w:rPr>
          <w:rFonts w:ascii="Times New Roman" w:hAnsi="Times New Roman"/>
          <w:sz w:val="24"/>
          <w:szCs w:val="24"/>
          <w:lang w:val="en-US"/>
        </w:rPr>
        <w:t xml:space="preserve"> </w:t>
      </w:r>
      <w:r w:rsidR="006C3659" w:rsidRPr="00961950">
        <w:rPr>
          <w:rFonts w:ascii="Times New Roman" w:hAnsi="Times New Roman"/>
          <w:sz w:val="24"/>
          <w:szCs w:val="24"/>
        </w:rPr>
        <w:t xml:space="preserve">using </w:t>
      </w:r>
      <w:r w:rsidR="006578B8">
        <w:rPr>
          <w:rFonts w:ascii="Times New Roman" w:hAnsi="Times New Roman"/>
          <w:sz w:val="24"/>
          <w:szCs w:val="24"/>
        </w:rPr>
        <w:t xml:space="preserve">a </w:t>
      </w:r>
      <w:r w:rsidR="006C3659" w:rsidRPr="00961950">
        <w:rPr>
          <w:rFonts w:ascii="Times New Roman" w:hAnsi="Times New Roman"/>
          <w:sz w:val="24"/>
          <w:szCs w:val="24"/>
        </w:rPr>
        <w:t>variable pH gradient derived from δ</w:t>
      </w:r>
      <w:r w:rsidR="006C3659" w:rsidRPr="00961950">
        <w:rPr>
          <w:rFonts w:ascii="Times New Roman" w:hAnsi="Times New Roman"/>
          <w:sz w:val="24"/>
          <w:szCs w:val="24"/>
          <w:vertAlign w:val="superscript"/>
        </w:rPr>
        <w:t>13</w:t>
      </w:r>
      <w:r w:rsidR="006C3659" w:rsidRPr="00961950">
        <w:rPr>
          <w:rFonts w:ascii="Times New Roman" w:hAnsi="Times New Roman"/>
          <w:sz w:val="24"/>
          <w:szCs w:val="24"/>
        </w:rPr>
        <w:t>C</w:t>
      </w:r>
      <w:r w:rsidR="002E6BF2">
        <w:rPr>
          <w:rFonts w:ascii="Times New Roman" w:hAnsi="Times New Roman"/>
          <w:sz w:val="24"/>
          <w:szCs w:val="24"/>
        </w:rPr>
        <w:t xml:space="preserve"> </w:t>
      </w:r>
      <w:r w:rsidR="002E6BF2">
        <w:rPr>
          <w:rFonts w:ascii="Times New Roman" w:hAnsi="Times New Roman"/>
          <w:noProof/>
          <w:sz w:val="24"/>
          <w:szCs w:val="24"/>
          <w:lang w:val="en-US"/>
        </w:rPr>
        <w:t xml:space="preserve">(error </w:t>
      </w:r>
      <w:r w:rsidR="002E6BF2" w:rsidRPr="005776A4">
        <w:rPr>
          <w:rFonts w:ascii="Times New Roman" w:hAnsi="Times New Roman"/>
          <w:noProof/>
          <w:sz w:val="24"/>
          <w:szCs w:val="24"/>
          <w:lang w:val="en-US"/>
        </w:rPr>
        <w:t xml:space="preserve">bars show </w:t>
      </w:r>
      <w:r w:rsidR="002E6BF2" w:rsidRPr="005776A4">
        <w:rPr>
          <w:rFonts w:ascii="Times New Roman" w:hAnsi="Times New Roman"/>
          <w:color w:val="000000"/>
          <w:sz w:val="24"/>
          <w:szCs w:val="24"/>
          <w:lang w:val="en-US"/>
        </w:rPr>
        <w:t xml:space="preserve">2 </w:t>
      </w:r>
      <w:r w:rsidR="002E6BF2" w:rsidRPr="005776A4">
        <w:rPr>
          <w:rFonts w:ascii="Times New Roman" w:hAnsi="Times New Roman"/>
          <w:sz w:val="24"/>
          <w:szCs w:val="24"/>
        </w:rPr>
        <w:sym w:font="Symbol" w:char="F073"/>
      </w:r>
      <w:r w:rsidR="002E6BF2" w:rsidRPr="005776A4">
        <w:rPr>
          <w:rFonts w:ascii="Times New Roman" w:hAnsi="Times New Roman"/>
          <w:sz w:val="24"/>
          <w:szCs w:val="24"/>
        </w:rPr>
        <w:t xml:space="preserve"> uncertainty</w:t>
      </w:r>
      <w:r w:rsidR="002E6BF2">
        <w:rPr>
          <w:rFonts w:ascii="Times New Roman" w:hAnsi="Times New Roman"/>
          <w:sz w:val="24"/>
          <w:szCs w:val="24"/>
        </w:rPr>
        <w:t>)</w:t>
      </w:r>
      <w:r w:rsidR="006C3659" w:rsidRPr="00961950">
        <w:rPr>
          <w:rFonts w:ascii="Times New Roman" w:hAnsi="Times New Roman"/>
          <w:sz w:val="24"/>
          <w:szCs w:val="24"/>
          <w:lang w:val="en-US"/>
        </w:rPr>
        <w:t xml:space="preserve"> </w:t>
      </w:r>
      <w:r w:rsidR="00D278DB">
        <w:rPr>
          <w:rFonts w:ascii="Times New Roman" w:hAnsi="Times New Roman"/>
          <w:sz w:val="24"/>
          <w:szCs w:val="24"/>
          <w:lang w:val="en-US"/>
        </w:rPr>
        <w:t>with</w:t>
      </w:r>
      <w:r w:rsidR="006C3659" w:rsidRPr="00961950">
        <w:rPr>
          <w:rFonts w:ascii="Times New Roman" w:hAnsi="Times New Roman"/>
          <w:sz w:val="24"/>
          <w:szCs w:val="24"/>
          <w:lang w:val="en-US"/>
        </w:rPr>
        <w:t xml:space="preserve"> </w:t>
      </w:r>
      <w:r w:rsidR="006C3659" w:rsidRPr="00961950">
        <w:rPr>
          <w:rFonts w:ascii="Times New Roman" w:hAnsi="Times New Roman"/>
          <w:sz w:val="24"/>
          <w:szCs w:val="24"/>
          <w:lang w:val="en-US"/>
        </w:rPr>
        <w:sym w:font="Symbol" w:char="0064"/>
      </w:r>
      <w:r w:rsidR="006C3659" w:rsidRPr="00961950">
        <w:rPr>
          <w:rFonts w:ascii="Times New Roman" w:hAnsi="Times New Roman"/>
          <w:sz w:val="24"/>
          <w:szCs w:val="24"/>
          <w:vertAlign w:val="superscript"/>
          <w:lang w:val="en-US"/>
        </w:rPr>
        <w:t>44/40</w:t>
      </w:r>
      <w:r w:rsidR="006C3659" w:rsidRPr="00961950">
        <w:rPr>
          <w:rFonts w:ascii="Times New Roman" w:hAnsi="Times New Roman"/>
          <w:sz w:val="24"/>
          <w:szCs w:val="24"/>
          <w:lang w:val="en-US"/>
        </w:rPr>
        <w:t>Ca</w:t>
      </w:r>
      <w:r w:rsidR="006C3659" w:rsidRPr="00961950">
        <w:rPr>
          <w:rFonts w:ascii="Times New Roman" w:hAnsi="Times New Roman"/>
          <w:sz w:val="24"/>
          <w:szCs w:val="24"/>
          <w:vertAlign w:val="subscript"/>
          <w:lang w:val="en-US"/>
        </w:rPr>
        <w:t xml:space="preserve">sw </w:t>
      </w:r>
      <w:r w:rsidR="006C3659" w:rsidRPr="00961950">
        <w:rPr>
          <w:rFonts w:ascii="Times New Roman" w:hAnsi="Times New Roman"/>
          <w:sz w:val="24"/>
          <w:szCs w:val="24"/>
          <w:lang w:val="en-US"/>
        </w:rPr>
        <w:t xml:space="preserve">from </w:t>
      </w:r>
      <w:r w:rsidR="001E2047">
        <w:rPr>
          <w:rFonts w:ascii="Times New Roman" w:hAnsi="Times New Roman"/>
          <w:noProof/>
          <w:sz w:val="24"/>
          <w:szCs w:val="24"/>
          <w:lang w:val="en-US"/>
        </w:rPr>
        <w:t>Griffith et al.</w:t>
      </w:r>
      <w:r w:rsidR="006C3659" w:rsidRPr="00961950">
        <w:rPr>
          <w:rFonts w:ascii="Times New Roman" w:hAnsi="Times New Roman"/>
          <w:noProof/>
          <w:sz w:val="24"/>
          <w:szCs w:val="24"/>
          <w:lang w:val="en-US"/>
        </w:rPr>
        <w:t xml:space="preserve"> (2008</w:t>
      </w:r>
      <w:r w:rsidR="001E2047">
        <w:rPr>
          <w:rFonts w:ascii="Times New Roman" w:hAnsi="Times New Roman"/>
          <w:noProof/>
          <w:sz w:val="24"/>
          <w:szCs w:val="24"/>
          <w:lang w:val="en-US"/>
        </w:rPr>
        <w:t>)</w:t>
      </w:r>
      <w:r w:rsidR="002E6BF2">
        <w:rPr>
          <w:rFonts w:ascii="Times New Roman" w:hAnsi="Times New Roman"/>
          <w:noProof/>
          <w:sz w:val="24"/>
          <w:szCs w:val="24"/>
          <w:lang w:val="en-US"/>
        </w:rPr>
        <w:t xml:space="preserve"> (error </w:t>
      </w:r>
      <w:r w:rsidR="002E6BF2" w:rsidRPr="005776A4">
        <w:rPr>
          <w:rFonts w:ascii="Times New Roman" w:hAnsi="Times New Roman"/>
          <w:noProof/>
          <w:sz w:val="24"/>
          <w:szCs w:val="24"/>
          <w:lang w:val="en-US"/>
        </w:rPr>
        <w:t xml:space="preserve">bars show </w:t>
      </w:r>
      <w:r w:rsidR="002E6BF2" w:rsidRPr="005776A4">
        <w:rPr>
          <w:rFonts w:ascii="Times New Roman" w:hAnsi="Times New Roman"/>
          <w:color w:val="000000"/>
          <w:sz w:val="24"/>
          <w:szCs w:val="24"/>
          <w:lang w:val="en-US"/>
        </w:rPr>
        <w:t xml:space="preserve">2 </w:t>
      </w:r>
      <w:r w:rsidR="002E6BF2" w:rsidRPr="005776A4">
        <w:rPr>
          <w:rFonts w:ascii="Times New Roman" w:hAnsi="Times New Roman"/>
          <w:sz w:val="24"/>
          <w:szCs w:val="24"/>
        </w:rPr>
        <w:sym w:font="Symbol" w:char="F073"/>
      </w:r>
      <w:r w:rsidR="002E6BF2" w:rsidRPr="005776A4">
        <w:rPr>
          <w:rFonts w:ascii="Times New Roman" w:hAnsi="Times New Roman"/>
          <w:sz w:val="24"/>
          <w:szCs w:val="24"/>
        </w:rPr>
        <w:t xml:space="preserve"> uncertainty</w:t>
      </w:r>
      <w:r w:rsidR="002E6BF2">
        <w:rPr>
          <w:rFonts w:ascii="Times New Roman" w:hAnsi="Times New Roman"/>
          <w:sz w:val="24"/>
          <w:szCs w:val="24"/>
        </w:rPr>
        <w:t>)</w:t>
      </w:r>
      <w:r w:rsidR="00D278DB">
        <w:rPr>
          <w:rFonts w:ascii="Times New Roman" w:hAnsi="Times New Roman"/>
          <w:noProof/>
          <w:sz w:val="24"/>
          <w:szCs w:val="24"/>
          <w:lang w:val="en-US"/>
        </w:rPr>
        <w:t xml:space="preserve">, </w:t>
      </w:r>
      <w:r w:rsidR="006C3659" w:rsidRPr="00961950">
        <w:rPr>
          <w:rFonts w:ascii="Times New Roman" w:hAnsi="Times New Roman"/>
          <w:sz w:val="24"/>
          <w:szCs w:val="24"/>
          <w:lang w:val="en-US"/>
        </w:rPr>
        <w:sym w:font="Symbol" w:char="0064"/>
      </w:r>
      <w:r w:rsidR="006C3659" w:rsidRPr="00961950">
        <w:rPr>
          <w:rFonts w:ascii="Times New Roman" w:hAnsi="Times New Roman"/>
          <w:sz w:val="24"/>
          <w:szCs w:val="24"/>
          <w:vertAlign w:val="superscript"/>
          <w:lang w:val="en-US"/>
        </w:rPr>
        <w:t>7</w:t>
      </w:r>
      <w:r w:rsidR="006C3659" w:rsidRPr="00961950">
        <w:rPr>
          <w:rFonts w:ascii="Times New Roman" w:hAnsi="Times New Roman"/>
          <w:sz w:val="24"/>
          <w:szCs w:val="24"/>
          <w:lang w:val="en-US"/>
        </w:rPr>
        <w:t>Li</w:t>
      </w:r>
      <w:r w:rsidR="006C3659" w:rsidRPr="00961950">
        <w:rPr>
          <w:rFonts w:ascii="Times New Roman" w:hAnsi="Times New Roman"/>
          <w:sz w:val="24"/>
          <w:szCs w:val="24"/>
          <w:vertAlign w:val="subscript"/>
          <w:lang w:val="en-US"/>
        </w:rPr>
        <w:t>sw</w:t>
      </w:r>
      <w:r w:rsidR="006C3659" w:rsidRPr="00961950">
        <w:rPr>
          <w:rFonts w:ascii="Times New Roman" w:hAnsi="Times New Roman"/>
          <w:sz w:val="24"/>
          <w:szCs w:val="24"/>
          <w:lang w:val="en-US"/>
        </w:rPr>
        <w:t xml:space="preserve"> from </w:t>
      </w:r>
      <w:r w:rsidR="001E2047">
        <w:rPr>
          <w:rFonts w:ascii="Times New Roman" w:hAnsi="Times New Roman"/>
          <w:noProof/>
          <w:sz w:val="24"/>
          <w:szCs w:val="24"/>
          <w:lang w:val="en-US"/>
        </w:rPr>
        <w:t>Misra and Froelich</w:t>
      </w:r>
      <w:r w:rsidR="006C3659" w:rsidRPr="00961950">
        <w:rPr>
          <w:rFonts w:ascii="Times New Roman" w:hAnsi="Times New Roman"/>
          <w:noProof/>
          <w:sz w:val="24"/>
          <w:szCs w:val="24"/>
          <w:lang w:val="en-US"/>
        </w:rPr>
        <w:t xml:space="preserve"> (2012</w:t>
      </w:r>
      <w:r w:rsidR="00D278DB">
        <w:rPr>
          <w:rFonts w:ascii="Times New Roman" w:hAnsi="Times New Roman"/>
          <w:noProof/>
          <w:sz w:val="24"/>
          <w:szCs w:val="24"/>
          <w:lang w:val="en-US"/>
        </w:rPr>
        <w:t>)</w:t>
      </w:r>
      <w:r w:rsidR="002E6BF2">
        <w:rPr>
          <w:rFonts w:ascii="Times New Roman" w:hAnsi="Times New Roman"/>
          <w:noProof/>
          <w:sz w:val="24"/>
          <w:szCs w:val="24"/>
          <w:lang w:val="en-US"/>
        </w:rPr>
        <w:t xml:space="preserve"> (error </w:t>
      </w:r>
      <w:r w:rsidR="002E6BF2" w:rsidRPr="005776A4">
        <w:rPr>
          <w:rFonts w:ascii="Times New Roman" w:hAnsi="Times New Roman"/>
          <w:noProof/>
          <w:sz w:val="24"/>
          <w:szCs w:val="24"/>
          <w:lang w:val="en-US"/>
        </w:rPr>
        <w:t xml:space="preserve">bars show </w:t>
      </w:r>
      <w:r w:rsidR="002E6BF2" w:rsidRPr="005776A4">
        <w:rPr>
          <w:rFonts w:ascii="Times New Roman" w:hAnsi="Times New Roman"/>
          <w:color w:val="000000"/>
          <w:sz w:val="24"/>
          <w:szCs w:val="24"/>
          <w:lang w:val="en-US"/>
        </w:rPr>
        <w:t xml:space="preserve">2 </w:t>
      </w:r>
      <w:r w:rsidR="002E6BF2" w:rsidRPr="005776A4">
        <w:rPr>
          <w:rFonts w:ascii="Times New Roman" w:hAnsi="Times New Roman"/>
          <w:sz w:val="24"/>
          <w:szCs w:val="24"/>
        </w:rPr>
        <w:sym w:font="Symbol" w:char="F073"/>
      </w:r>
      <w:r w:rsidR="002E6BF2" w:rsidRPr="005776A4">
        <w:rPr>
          <w:rFonts w:ascii="Times New Roman" w:hAnsi="Times New Roman"/>
          <w:sz w:val="24"/>
          <w:szCs w:val="24"/>
        </w:rPr>
        <w:t xml:space="preserve"> uncertainty</w:t>
      </w:r>
      <w:r w:rsidR="002E6BF2">
        <w:rPr>
          <w:rFonts w:ascii="Times New Roman" w:hAnsi="Times New Roman"/>
          <w:sz w:val="24"/>
          <w:szCs w:val="24"/>
        </w:rPr>
        <w:t>)</w:t>
      </w:r>
      <w:r w:rsidR="006C3659" w:rsidRPr="00961950">
        <w:rPr>
          <w:rFonts w:ascii="Times New Roman" w:hAnsi="Times New Roman"/>
          <w:sz w:val="24"/>
          <w:szCs w:val="24"/>
          <w:lang w:val="en-US"/>
        </w:rPr>
        <w:t xml:space="preserve"> and </w:t>
      </w:r>
      <w:r w:rsidR="006C3659" w:rsidRPr="00961950">
        <w:rPr>
          <w:rFonts w:ascii="Times New Roman" w:hAnsi="Times New Roman"/>
          <w:sz w:val="24"/>
          <w:szCs w:val="24"/>
          <w:lang w:val="en-US"/>
        </w:rPr>
        <w:sym w:font="Symbol" w:char="0064"/>
      </w:r>
      <w:r w:rsidR="006C3659" w:rsidRPr="00961950">
        <w:rPr>
          <w:rFonts w:ascii="Times New Roman" w:hAnsi="Times New Roman"/>
          <w:sz w:val="24"/>
          <w:szCs w:val="24"/>
          <w:vertAlign w:val="superscript"/>
          <w:lang w:val="en-US"/>
        </w:rPr>
        <w:t>26</w:t>
      </w:r>
      <w:r w:rsidR="006C3659" w:rsidRPr="00961950">
        <w:rPr>
          <w:rFonts w:ascii="Times New Roman" w:hAnsi="Times New Roman"/>
          <w:sz w:val="24"/>
          <w:szCs w:val="24"/>
          <w:lang w:val="en-US"/>
        </w:rPr>
        <w:t>Mg</w:t>
      </w:r>
      <w:r w:rsidR="006C3659" w:rsidRPr="00961950">
        <w:rPr>
          <w:rFonts w:ascii="Times New Roman" w:hAnsi="Times New Roman"/>
          <w:sz w:val="24"/>
          <w:szCs w:val="24"/>
          <w:vertAlign w:val="subscript"/>
          <w:lang w:val="en-US"/>
        </w:rPr>
        <w:t>sw</w:t>
      </w:r>
      <w:r w:rsidR="006C3659" w:rsidRPr="00961950">
        <w:rPr>
          <w:rFonts w:ascii="Times New Roman" w:hAnsi="Times New Roman"/>
          <w:sz w:val="24"/>
          <w:szCs w:val="24"/>
          <w:lang w:val="en-US"/>
        </w:rPr>
        <w:t xml:space="preserve"> from </w:t>
      </w:r>
      <w:r w:rsidR="001E2047">
        <w:rPr>
          <w:rFonts w:ascii="Times New Roman" w:hAnsi="Times New Roman"/>
          <w:noProof/>
          <w:sz w:val="24"/>
          <w:szCs w:val="24"/>
          <w:lang w:val="en-US"/>
        </w:rPr>
        <w:t>Pogge von Strandmann et al.</w:t>
      </w:r>
      <w:r w:rsidR="006C3659" w:rsidRPr="00961950">
        <w:rPr>
          <w:rFonts w:ascii="Times New Roman" w:hAnsi="Times New Roman"/>
          <w:noProof/>
          <w:sz w:val="24"/>
          <w:szCs w:val="24"/>
          <w:lang w:val="en-US"/>
        </w:rPr>
        <w:t xml:space="preserve"> (2014)</w:t>
      </w:r>
      <w:r w:rsidR="002E6BF2">
        <w:rPr>
          <w:rFonts w:ascii="Times New Roman" w:hAnsi="Times New Roman"/>
          <w:noProof/>
          <w:sz w:val="24"/>
          <w:szCs w:val="24"/>
          <w:lang w:val="en-US"/>
        </w:rPr>
        <w:t xml:space="preserve"> </w:t>
      </w:r>
      <w:r w:rsidR="002E6BF2" w:rsidRPr="002E6BF2">
        <w:rPr>
          <w:rFonts w:ascii="Times New Roman" w:hAnsi="Times New Roman"/>
          <w:noProof/>
          <w:sz w:val="24"/>
          <w:szCs w:val="24"/>
          <w:lang w:val="en-US"/>
        </w:rPr>
        <w:t xml:space="preserve">(error bars are </w:t>
      </w:r>
      <w:r w:rsidR="002E6BF2" w:rsidRPr="002E6BF2">
        <w:rPr>
          <w:rFonts w:ascii="Times New Roman" w:hAnsi="Times New Roman"/>
          <w:sz w:val="24"/>
          <w:szCs w:val="24"/>
        </w:rPr>
        <w:t>± 0.28 ‰ and</w:t>
      </w:r>
      <w:r w:rsidR="002E6BF2" w:rsidRPr="002E6BF2">
        <w:rPr>
          <w:rFonts w:ascii="Times New Roman" w:hAnsi="Times New Roman"/>
          <w:noProof/>
          <w:sz w:val="24"/>
          <w:szCs w:val="24"/>
          <w:lang w:val="en-US"/>
        </w:rPr>
        <w:t xml:space="preserve"> </w:t>
      </w:r>
      <w:r w:rsidR="002E6BF2" w:rsidRPr="002E6BF2">
        <w:rPr>
          <w:rFonts w:ascii="Times New Roman" w:hAnsi="Times New Roman"/>
          <w:sz w:val="24"/>
          <w:szCs w:val="24"/>
        </w:rPr>
        <w:t xml:space="preserve">include analytical uncertainty and scatter due to the spread in modern </w:t>
      </w:r>
      <w:r w:rsidR="002E6BF2" w:rsidRPr="002E6BF2">
        <w:rPr>
          <w:rFonts w:ascii="Times New Roman" w:hAnsi="Times New Roman"/>
          <w:i/>
          <w:sz w:val="24"/>
          <w:szCs w:val="24"/>
        </w:rPr>
        <w:t>O. universa</w:t>
      </w:r>
      <w:r w:rsidR="002E6BF2" w:rsidRPr="002E6BF2">
        <w:rPr>
          <w:rFonts w:ascii="Times New Roman" w:hAnsi="Times New Roman"/>
          <w:sz w:val="24"/>
          <w:szCs w:val="24"/>
        </w:rPr>
        <w:t xml:space="preserve"> and the offset between the two analysed species)</w:t>
      </w:r>
      <w:r w:rsidR="006C3659" w:rsidRPr="00961950">
        <w:rPr>
          <w:rFonts w:ascii="Times New Roman" w:hAnsi="Times New Roman"/>
          <w:sz w:val="24"/>
          <w:szCs w:val="24"/>
          <w:lang w:val="en-US"/>
        </w:rPr>
        <w:t>.</w:t>
      </w:r>
      <w:r w:rsidR="006C3659">
        <w:rPr>
          <w:rFonts w:ascii="Times New Roman" w:hAnsi="Times New Roman"/>
          <w:sz w:val="24"/>
          <w:szCs w:val="24"/>
          <w:lang w:val="en-US"/>
        </w:rPr>
        <w:t xml:space="preserve"> </w:t>
      </w:r>
      <w:r w:rsidRPr="00961950">
        <w:rPr>
          <w:rFonts w:ascii="Times New Roman" w:hAnsi="Times New Roman"/>
          <w:sz w:val="24"/>
          <w:szCs w:val="24"/>
          <w:lang w:val="en-US"/>
        </w:rPr>
        <w:t>The colour of the data points highlights the age of the data points where red = modern and blue = 23 Ma.</w:t>
      </w:r>
      <w:bookmarkEnd w:id="23"/>
    </w:p>
    <w:p w14:paraId="34C1393C" w14:textId="2F96FBB6" w:rsidR="00550F2D" w:rsidRPr="00136EB2" w:rsidRDefault="00550F2D" w:rsidP="00961950">
      <w:pPr>
        <w:pStyle w:val="Caption"/>
        <w:spacing w:line="360" w:lineRule="auto"/>
        <w:rPr>
          <w:rFonts w:ascii="Times New Roman" w:hAnsi="Times New Roman"/>
          <w:sz w:val="24"/>
          <w:szCs w:val="24"/>
        </w:rPr>
      </w:pPr>
      <w:r w:rsidRPr="00136EB2">
        <w:rPr>
          <w:rFonts w:ascii="Times New Roman" w:hAnsi="Times New Roman"/>
          <w:sz w:val="24"/>
          <w:szCs w:val="24"/>
        </w:rPr>
        <w:t xml:space="preserve">Table 1: CYCLOPS </w:t>
      </w:r>
      <w:r w:rsidR="00136EB2" w:rsidRPr="00B77E74">
        <w:rPr>
          <w:rFonts w:ascii="Times New Roman" w:hAnsi="Times New Roman"/>
          <w:color w:val="000000"/>
          <w:sz w:val="24"/>
          <w:szCs w:val="24"/>
        </w:rPr>
        <w:t>model parameter values defining the ensemble of 13,500 simulations.</w:t>
      </w:r>
    </w:p>
    <w:p w14:paraId="747F0B25" w14:textId="18839F6F" w:rsidR="00321545" w:rsidRDefault="00550F2D" w:rsidP="00961950">
      <w:pPr>
        <w:pStyle w:val="Caption"/>
        <w:spacing w:line="360" w:lineRule="auto"/>
        <w:rPr>
          <w:rFonts w:ascii="Times New Roman" w:hAnsi="Times New Roman"/>
          <w:sz w:val="24"/>
          <w:szCs w:val="24"/>
        </w:rPr>
      </w:pPr>
      <w:r>
        <w:rPr>
          <w:rFonts w:ascii="Times New Roman" w:hAnsi="Times New Roman"/>
          <w:sz w:val="24"/>
          <w:szCs w:val="24"/>
        </w:rPr>
        <w:t>Table 2</w:t>
      </w:r>
      <w:r w:rsidR="00321545">
        <w:rPr>
          <w:rFonts w:ascii="Times New Roman" w:hAnsi="Times New Roman"/>
          <w:sz w:val="24"/>
          <w:szCs w:val="24"/>
        </w:rPr>
        <w:t xml:space="preserve">: Uncertainty inputs into the Monte Carlo simulations to calculate </w:t>
      </w:r>
      <w:r w:rsidR="00321545" w:rsidRPr="00961950">
        <w:rPr>
          <w:rFonts w:ascii="Times New Roman" w:hAnsi="Times New Roman"/>
          <w:sz w:val="24"/>
          <w:szCs w:val="24"/>
        </w:rPr>
        <w:t>δ</w:t>
      </w:r>
      <w:r w:rsidR="00321545" w:rsidRPr="00961950">
        <w:rPr>
          <w:rFonts w:ascii="Times New Roman" w:hAnsi="Times New Roman"/>
          <w:sz w:val="24"/>
          <w:szCs w:val="24"/>
          <w:vertAlign w:val="superscript"/>
        </w:rPr>
        <w:t>11</w:t>
      </w:r>
      <w:r w:rsidR="00321545" w:rsidRPr="00961950">
        <w:rPr>
          <w:rFonts w:ascii="Times New Roman" w:hAnsi="Times New Roman"/>
          <w:sz w:val="24"/>
          <w:szCs w:val="24"/>
        </w:rPr>
        <w:t>B</w:t>
      </w:r>
      <w:r w:rsidR="00321545">
        <w:rPr>
          <w:rFonts w:ascii="Times New Roman" w:hAnsi="Times New Roman"/>
          <w:sz w:val="24"/>
          <w:szCs w:val="24"/>
        </w:rPr>
        <w:t>. The sources of uncertainty are also added. All uncertainty estimates are 2σ.</w:t>
      </w:r>
    </w:p>
    <w:p w14:paraId="40E1E7C4" w14:textId="61107A2C" w:rsidR="00961950" w:rsidRPr="00961950" w:rsidRDefault="00961950" w:rsidP="00961950">
      <w:pPr>
        <w:pStyle w:val="Caption"/>
        <w:spacing w:line="360" w:lineRule="auto"/>
        <w:rPr>
          <w:rFonts w:ascii="Times New Roman" w:hAnsi="Times New Roman"/>
          <w:noProof/>
          <w:sz w:val="24"/>
          <w:szCs w:val="24"/>
        </w:rPr>
      </w:pPr>
      <w:r w:rsidRPr="00961950">
        <w:rPr>
          <w:rFonts w:ascii="Times New Roman" w:hAnsi="Times New Roman"/>
          <w:sz w:val="24"/>
          <w:szCs w:val="24"/>
        </w:rPr>
        <w:t xml:space="preserve">Table </w:t>
      </w:r>
      <w:r w:rsidR="00550F2D">
        <w:rPr>
          <w:rFonts w:ascii="Times New Roman" w:hAnsi="Times New Roman"/>
          <w:sz w:val="24"/>
          <w:szCs w:val="24"/>
        </w:rPr>
        <w:t>3</w:t>
      </w:r>
      <w:r w:rsidRPr="00961950">
        <w:rPr>
          <w:rFonts w:ascii="Times New Roman" w:hAnsi="Times New Roman"/>
          <w:sz w:val="24"/>
          <w:szCs w:val="24"/>
        </w:rPr>
        <w:t>: The average δ</w:t>
      </w:r>
      <w:r w:rsidRPr="00961950">
        <w:rPr>
          <w:rFonts w:ascii="Times New Roman" w:hAnsi="Times New Roman"/>
          <w:sz w:val="24"/>
          <w:szCs w:val="24"/>
          <w:vertAlign w:val="superscript"/>
        </w:rPr>
        <w:t>11</w:t>
      </w:r>
      <w:r w:rsidRPr="00961950">
        <w:rPr>
          <w:rFonts w:ascii="Times New Roman" w:hAnsi="Times New Roman"/>
          <w:sz w:val="24"/>
          <w:szCs w:val="24"/>
        </w:rPr>
        <w:t xml:space="preserve">B, </w:t>
      </w:r>
      <w:r w:rsidRPr="00961950">
        <w:rPr>
          <w:rFonts w:ascii="Times New Roman" w:hAnsi="Times New Roman"/>
          <w:sz w:val="24"/>
          <w:szCs w:val="24"/>
          <w:lang w:val="en-US"/>
        </w:rPr>
        <w:sym w:font="Symbol" w:char="0064"/>
      </w:r>
      <w:r w:rsidRPr="00961950">
        <w:rPr>
          <w:rFonts w:ascii="Times New Roman" w:hAnsi="Times New Roman"/>
          <w:sz w:val="24"/>
          <w:szCs w:val="24"/>
          <w:vertAlign w:val="superscript"/>
          <w:lang w:val="en-US"/>
        </w:rPr>
        <w:t>26</w:t>
      </w:r>
      <w:r w:rsidRPr="00961950">
        <w:rPr>
          <w:rFonts w:ascii="Times New Roman" w:hAnsi="Times New Roman"/>
          <w:sz w:val="24"/>
          <w:szCs w:val="24"/>
          <w:lang w:val="en-US"/>
        </w:rPr>
        <w:t>Mg,</w:t>
      </w:r>
      <w:r w:rsidRPr="00961950">
        <w:rPr>
          <w:rFonts w:ascii="Times New Roman" w:hAnsi="Times New Roman"/>
          <w:sz w:val="24"/>
          <w:szCs w:val="24"/>
          <w:vertAlign w:val="subscript"/>
          <w:lang w:val="en-US"/>
        </w:rPr>
        <w:t xml:space="preserve"> </w:t>
      </w:r>
      <w:r w:rsidRPr="00961950">
        <w:rPr>
          <w:rFonts w:ascii="Times New Roman" w:hAnsi="Times New Roman"/>
          <w:sz w:val="24"/>
          <w:szCs w:val="24"/>
          <w:lang w:val="en-US"/>
        </w:rPr>
        <w:sym w:font="Symbol" w:char="0064"/>
      </w:r>
      <w:r w:rsidRPr="00961950">
        <w:rPr>
          <w:rFonts w:ascii="Times New Roman" w:hAnsi="Times New Roman"/>
          <w:sz w:val="24"/>
          <w:szCs w:val="24"/>
          <w:vertAlign w:val="superscript"/>
          <w:lang w:val="en-US"/>
        </w:rPr>
        <w:t>44/40</w:t>
      </w:r>
      <w:r w:rsidRPr="00961950">
        <w:rPr>
          <w:rFonts w:ascii="Times New Roman" w:hAnsi="Times New Roman"/>
          <w:sz w:val="24"/>
          <w:szCs w:val="24"/>
          <w:lang w:val="en-US"/>
        </w:rPr>
        <w:t>Ca</w:t>
      </w:r>
      <w:r w:rsidRPr="00961950">
        <w:rPr>
          <w:rFonts w:ascii="Times New Roman" w:hAnsi="Times New Roman"/>
          <w:sz w:val="24"/>
          <w:szCs w:val="24"/>
          <w:vertAlign w:val="subscript"/>
          <w:lang w:val="en-US"/>
        </w:rPr>
        <w:t xml:space="preserve"> </w:t>
      </w:r>
      <w:r w:rsidRPr="00961950">
        <w:rPr>
          <w:rFonts w:ascii="Times New Roman" w:hAnsi="Times New Roman"/>
          <w:sz w:val="24"/>
          <w:szCs w:val="24"/>
          <w:lang w:val="en-US"/>
        </w:rPr>
        <w:t xml:space="preserve">and </w:t>
      </w:r>
      <w:r w:rsidRPr="00961950">
        <w:rPr>
          <w:rFonts w:ascii="Times New Roman" w:hAnsi="Times New Roman"/>
          <w:sz w:val="24"/>
          <w:szCs w:val="24"/>
          <w:lang w:val="en-US"/>
        </w:rPr>
        <w:sym w:font="Symbol" w:char="0064"/>
      </w:r>
      <w:r w:rsidRPr="00961950">
        <w:rPr>
          <w:rFonts w:ascii="Times New Roman" w:hAnsi="Times New Roman"/>
          <w:sz w:val="24"/>
          <w:szCs w:val="24"/>
          <w:vertAlign w:val="superscript"/>
          <w:lang w:val="en-US"/>
        </w:rPr>
        <w:t>7</w:t>
      </w:r>
      <w:r w:rsidRPr="00961950">
        <w:rPr>
          <w:rFonts w:ascii="Times New Roman" w:hAnsi="Times New Roman"/>
          <w:sz w:val="24"/>
          <w:szCs w:val="24"/>
          <w:lang w:val="en-US"/>
        </w:rPr>
        <w:t>Li</w:t>
      </w:r>
      <w:r w:rsidRPr="00961950">
        <w:rPr>
          <w:rFonts w:ascii="Times New Roman" w:hAnsi="Times New Roman"/>
          <w:sz w:val="24"/>
          <w:szCs w:val="24"/>
          <w:vertAlign w:val="subscript"/>
          <w:lang w:val="en-US"/>
        </w:rPr>
        <w:t xml:space="preserve"> </w:t>
      </w:r>
      <w:r w:rsidRPr="00961950">
        <w:rPr>
          <w:rFonts w:ascii="Times New Roman" w:hAnsi="Times New Roman"/>
          <w:sz w:val="24"/>
          <w:szCs w:val="24"/>
          <w:lang w:val="en-US"/>
        </w:rPr>
        <w:t>composition</w:t>
      </w:r>
      <w:r w:rsidRPr="00961950">
        <w:rPr>
          <w:rFonts w:ascii="Times New Roman" w:hAnsi="Times New Roman"/>
          <w:sz w:val="24"/>
          <w:szCs w:val="24"/>
          <w:vertAlign w:val="subscript"/>
          <w:lang w:val="en-US"/>
        </w:rPr>
        <w:t xml:space="preserve"> </w:t>
      </w:r>
      <w:r w:rsidRPr="00961950">
        <w:rPr>
          <w:rFonts w:ascii="Times New Roman" w:hAnsi="Times New Roman"/>
          <w:sz w:val="24"/>
          <w:szCs w:val="24"/>
          <w:lang w:val="en-US"/>
        </w:rPr>
        <w:t>of major</w:t>
      </w:r>
      <w:r w:rsidRPr="00961950">
        <w:rPr>
          <w:rFonts w:ascii="Times New Roman" w:hAnsi="Times New Roman"/>
          <w:sz w:val="24"/>
          <w:szCs w:val="24"/>
          <w:vertAlign w:val="subscript"/>
          <w:lang w:val="en-US"/>
        </w:rPr>
        <w:t xml:space="preserve"> </w:t>
      </w:r>
      <w:r w:rsidRPr="00961950">
        <w:rPr>
          <w:rFonts w:ascii="Times New Roman" w:hAnsi="Times New Roman"/>
          <w:sz w:val="24"/>
          <w:szCs w:val="24"/>
        </w:rPr>
        <w:t xml:space="preserve">fluxes into and out of the ocean. Colour coding reflects the relative importance of each the processes (darker </w:t>
      </w:r>
      <w:r w:rsidR="00B062B3">
        <w:rPr>
          <w:rFonts w:ascii="Times New Roman" w:hAnsi="Times New Roman"/>
          <w:sz w:val="24"/>
          <w:szCs w:val="24"/>
        </w:rPr>
        <w:t>shading</w:t>
      </w:r>
      <w:r w:rsidRPr="00961950">
        <w:rPr>
          <w:rFonts w:ascii="Times New Roman" w:hAnsi="Times New Roman"/>
          <w:sz w:val="24"/>
          <w:szCs w:val="24"/>
        </w:rPr>
        <w:t xml:space="preserve"> reflects greater importance). The colour coding for boron is based on </w:t>
      </w:r>
      <w:r w:rsidR="001E2047">
        <w:rPr>
          <w:rFonts w:ascii="Times New Roman" w:hAnsi="Times New Roman"/>
          <w:noProof/>
          <w:sz w:val="24"/>
          <w:szCs w:val="24"/>
        </w:rPr>
        <w:t>Lemarchand et al.</w:t>
      </w:r>
      <w:r w:rsidR="00747895">
        <w:rPr>
          <w:rFonts w:ascii="Times New Roman" w:hAnsi="Times New Roman"/>
          <w:noProof/>
          <w:sz w:val="24"/>
          <w:szCs w:val="24"/>
        </w:rPr>
        <w:t xml:space="preserve"> (200</w:t>
      </w:r>
      <w:r w:rsidR="00102A50">
        <w:rPr>
          <w:rFonts w:ascii="Times New Roman" w:hAnsi="Times New Roman"/>
          <w:noProof/>
          <w:sz w:val="24"/>
          <w:szCs w:val="24"/>
        </w:rPr>
        <w:t>0</w:t>
      </w:r>
      <w:r w:rsidRPr="00961950">
        <w:rPr>
          <w:rFonts w:ascii="Times New Roman" w:hAnsi="Times New Roman"/>
          <w:noProof/>
          <w:sz w:val="24"/>
          <w:szCs w:val="24"/>
        </w:rPr>
        <w:t>)</w:t>
      </w:r>
      <w:r w:rsidR="001E2047">
        <w:rPr>
          <w:rFonts w:ascii="Times New Roman" w:hAnsi="Times New Roman"/>
          <w:sz w:val="24"/>
          <w:szCs w:val="24"/>
        </w:rPr>
        <w:t xml:space="preserve"> and references therein,</w:t>
      </w:r>
      <w:r w:rsidRPr="00961950">
        <w:rPr>
          <w:rFonts w:ascii="Times New Roman" w:hAnsi="Times New Roman"/>
          <w:sz w:val="24"/>
          <w:szCs w:val="24"/>
        </w:rPr>
        <w:t xml:space="preserve"> lithium from </w:t>
      </w:r>
      <w:r w:rsidR="001E2047">
        <w:rPr>
          <w:rFonts w:ascii="Times New Roman" w:hAnsi="Times New Roman"/>
          <w:noProof/>
          <w:sz w:val="24"/>
          <w:szCs w:val="24"/>
        </w:rPr>
        <w:t>Misra and Froelich</w:t>
      </w:r>
      <w:r w:rsidRPr="00961950">
        <w:rPr>
          <w:rFonts w:ascii="Times New Roman" w:hAnsi="Times New Roman"/>
          <w:noProof/>
          <w:sz w:val="24"/>
          <w:szCs w:val="24"/>
        </w:rPr>
        <w:t xml:space="preserve"> </w:t>
      </w:r>
      <w:r w:rsidR="001E2047">
        <w:rPr>
          <w:rFonts w:ascii="Times New Roman" w:hAnsi="Times New Roman"/>
          <w:noProof/>
          <w:sz w:val="24"/>
          <w:szCs w:val="24"/>
        </w:rPr>
        <w:t>(</w:t>
      </w:r>
      <w:r w:rsidRPr="00961950">
        <w:rPr>
          <w:rFonts w:ascii="Times New Roman" w:hAnsi="Times New Roman"/>
          <w:noProof/>
          <w:sz w:val="24"/>
          <w:szCs w:val="24"/>
        </w:rPr>
        <w:t>2012)</w:t>
      </w:r>
      <w:r w:rsidRPr="00961950">
        <w:rPr>
          <w:rFonts w:ascii="Times New Roman" w:hAnsi="Times New Roman"/>
          <w:sz w:val="24"/>
          <w:szCs w:val="24"/>
        </w:rPr>
        <w:t xml:space="preserve"> and references therein, magnesium from </w:t>
      </w:r>
      <w:r w:rsidR="001E2047">
        <w:rPr>
          <w:rFonts w:ascii="Times New Roman" w:hAnsi="Times New Roman"/>
          <w:noProof/>
          <w:sz w:val="24"/>
          <w:szCs w:val="24"/>
        </w:rPr>
        <w:t>Tipper et al.</w:t>
      </w:r>
      <w:r w:rsidRPr="00961950">
        <w:rPr>
          <w:rFonts w:ascii="Times New Roman" w:hAnsi="Times New Roman"/>
          <w:noProof/>
          <w:sz w:val="24"/>
          <w:szCs w:val="24"/>
        </w:rPr>
        <w:t xml:space="preserve"> (2006b)</w:t>
      </w:r>
      <w:r w:rsidRPr="00961950">
        <w:rPr>
          <w:rFonts w:ascii="Times New Roman" w:hAnsi="Times New Roman"/>
          <w:sz w:val="24"/>
          <w:szCs w:val="24"/>
        </w:rPr>
        <w:t xml:space="preserve"> and calcium from </w:t>
      </w:r>
      <w:r w:rsidR="0049170F">
        <w:rPr>
          <w:rFonts w:ascii="Times New Roman" w:hAnsi="Times New Roman"/>
          <w:sz w:val="24"/>
          <w:szCs w:val="24"/>
        </w:rPr>
        <w:t>Fantle and Tipper (2014)</w:t>
      </w:r>
      <w:r w:rsidR="001E2047">
        <w:rPr>
          <w:rFonts w:ascii="Times New Roman" w:hAnsi="Times New Roman"/>
          <w:sz w:val="24"/>
          <w:szCs w:val="24"/>
        </w:rPr>
        <w:t xml:space="preserve"> and Griffin et al.</w:t>
      </w:r>
      <w:r w:rsidR="0049170F">
        <w:rPr>
          <w:rFonts w:ascii="Times New Roman" w:hAnsi="Times New Roman"/>
          <w:sz w:val="24"/>
          <w:szCs w:val="24"/>
        </w:rPr>
        <w:t xml:space="preserve"> (2008) </w:t>
      </w:r>
      <w:r w:rsidRPr="00961950">
        <w:rPr>
          <w:rFonts w:ascii="Times New Roman" w:hAnsi="Times New Roman"/>
          <w:sz w:val="24"/>
          <w:szCs w:val="24"/>
        </w:rPr>
        <w:t xml:space="preserve">and references therein. The isotopic ratio of each process is: </w:t>
      </w:r>
      <w:r w:rsidR="001E2047">
        <w:rPr>
          <w:rFonts w:ascii="Times New Roman" w:hAnsi="Times New Roman"/>
          <w:sz w:val="24"/>
          <w:szCs w:val="24"/>
        </w:rPr>
        <w:t>(</w:t>
      </w:r>
      <w:r w:rsidRPr="00961950">
        <w:rPr>
          <w:rFonts w:ascii="Times New Roman" w:hAnsi="Times New Roman"/>
          <w:sz w:val="24"/>
          <w:szCs w:val="24"/>
        </w:rPr>
        <w:t xml:space="preserve">a) </w:t>
      </w:r>
      <w:r w:rsidR="001E2047">
        <w:rPr>
          <w:rFonts w:ascii="Times New Roman" w:hAnsi="Times New Roman"/>
          <w:noProof/>
          <w:sz w:val="24"/>
          <w:szCs w:val="24"/>
        </w:rPr>
        <w:t>Lemarchand et al.</w:t>
      </w:r>
      <w:r w:rsidR="00747895">
        <w:rPr>
          <w:rFonts w:ascii="Times New Roman" w:hAnsi="Times New Roman"/>
          <w:noProof/>
          <w:sz w:val="24"/>
          <w:szCs w:val="24"/>
        </w:rPr>
        <w:t xml:space="preserve"> </w:t>
      </w:r>
      <w:r w:rsidR="001E2047">
        <w:rPr>
          <w:rFonts w:ascii="Times New Roman" w:hAnsi="Times New Roman"/>
          <w:noProof/>
          <w:sz w:val="24"/>
          <w:szCs w:val="24"/>
        </w:rPr>
        <w:t>(</w:t>
      </w:r>
      <w:r w:rsidR="00747895">
        <w:rPr>
          <w:rFonts w:ascii="Times New Roman" w:hAnsi="Times New Roman"/>
          <w:noProof/>
          <w:sz w:val="24"/>
          <w:szCs w:val="24"/>
        </w:rPr>
        <w:t>200</w:t>
      </w:r>
      <w:r w:rsidR="00102A50">
        <w:rPr>
          <w:rFonts w:ascii="Times New Roman" w:hAnsi="Times New Roman"/>
          <w:noProof/>
          <w:sz w:val="24"/>
          <w:szCs w:val="24"/>
        </w:rPr>
        <w:t>0</w:t>
      </w:r>
      <w:r w:rsidR="0049170F" w:rsidRPr="00961950">
        <w:rPr>
          <w:rFonts w:ascii="Times New Roman" w:hAnsi="Times New Roman"/>
          <w:noProof/>
          <w:sz w:val="24"/>
          <w:szCs w:val="24"/>
        </w:rPr>
        <w:t>)</w:t>
      </w:r>
      <w:r w:rsidR="0049170F">
        <w:rPr>
          <w:rFonts w:ascii="Times New Roman" w:hAnsi="Times New Roman"/>
          <w:noProof/>
          <w:sz w:val="24"/>
          <w:szCs w:val="24"/>
        </w:rPr>
        <w:t xml:space="preserve"> and references therein</w:t>
      </w:r>
      <w:r w:rsidR="001E2047">
        <w:rPr>
          <w:rFonts w:ascii="Times New Roman" w:hAnsi="Times New Roman"/>
          <w:noProof/>
          <w:sz w:val="24"/>
          <w:szCs w:val="24"/>
        </w:rPr>
        <w:t>;</w:t>
      </w:r>
      <w:r w:rsidR="0049170F">
        <w:rPr>
          <w:rFonts w:ascii="Times New Roman" w:hAnsi="Times New Roman"/>
          <w:noProof/>
          <w:sz w:val="24"/>
          <w:szCs w:val="24"/>
        </w:rPr>
        <w:t xml:space="preserve"> </w:t>
      </w:r>
      <w:r w:rsidRPr="00961950">
        <w:rPr>
          <w:rFonts w:ascii="Times New Roman" w:hAnsi="Times New Roman"/>
          <w:sz w:val="24"/>
          <w:szCs w:val="24"/>
        </w:rPr>
        <w:t xml:space="preserve">b) </w:t>
      </w:r>
      <w:r w:rsidR="001E2047">
        <w:rPr>
          <w:rFonts w:ascii="Times New Roman" w:hAnsi="Times New Roman"/>
          <w:noProof/>
          <w:sz w:val="24"/>
          <w:szCs w:val="24"/>
        </w:rPr>
        <w:t>Misra and Froelich</w:t>
      </w:r>
      <w:r w:rsidR="0049170F">
        <w:rPr>
          <w:rFonts w:ascii="Times New Roman" w:hAnsi="Times New Roman"/>
          <w:noProof/>
          <w:sz w:val="24"/>
          <w:szCs w:val="24"/>
        </w:rPr>
        <w:t xml:space="preserve"> </w:t>
      </w:r>
      <w:r w:rsidR="001E2047">
        <w:rPr>
          <w:rFonts w:ascii="Times New Roman" w:hAnsi="Times New Roman"/>
          <w:noProof/>
          <w:sz w:val="24"/>
          <w:szCs w:val="24"/>
        </w:rPr>
        <w:t>(</w:t>
      </w:r>
      <w:r w:rsidR="0049170F">
        <w:rPr>
          <w:rFonts w:ascii="Times New Roman" w:hAnsi="Times New Roman"/>
          <w:noProof/>
          <w:sz w:val="24"/>
          <w:szCs w:val="24"/>
        </w:rPr>
        <w:t>2012) and references therein</w:t>
      </w:r>
      <w:r w:rsidR="001E2047">
        <w:rPr>
          <w:rFonts w:ascii="Times New Roman" w:hAnsi="Times New Roman"/>
          <w:noProof/>
          <w:sz w:val="24"/>
          <w:szCs w:val="24"/>
        </w:rPr>
        <w:t>;</w:t>
      </w:r>
      <w:r w:rsidRPr="00961950">
        <w:rPr>
          <w:rFonts w:ascii="Times New Roman" w:hAnsi="Times New Roman"/>
          <w:sz w:val="24"/>
          <w:szCs w:val="24"/>
        </w:rPr>
        <w:t xml:space="preserve"> </w:t>
      </w:r>
      <w:r w:rsidR="001E2047">
        <w:rPr>
          <w:rFonts w:ascii="Times New Roman" w:hAnsi="Times New Roman"/>
          <w:sz w:val="24"/>
          <w:szCs w:val="24"/>
        </w:rPr>
        <w:t>(</w:t>
      </w:r>
      <w:r w:rsidRPr="00961950">
        <w:rPr>
          <w:rFonts w:ascii="Times New Roman" w:hAnsi="Times New Roman"/>
          <w:sz w:val="24"/>
          <w:szCs w:val="24"/>
        </w:rPr>
        <w:t xml:space="preserve">c) </w:t>
      </w:r>
      <w:r w:rsidR="00586846">
        <w:rPr>
          <w:rFonts w:ascii="Times New Roman" w:hAnsi="Times New Roman"/>
          <w:sz w:val="24"/>
          <w:szCs w:val="24"/>
        </w:rPr>
        <w:t xml:space="preserve">Burton and Vigier </w:t>
      </w:r>
      <w:r w:rsidR="001E2047">
        <w:rPr>
          <w:rFonts w:ascii="Times New Roman" w:hAnsi="Times New Roman"/>
          <w:sz w:val="24"/>
          <w:szCs w:val="24"/>
        </w:rPr>
        <w:t>(</w:t>
      </w:r>
      <w:r w:rsidR="00586846">
        <w:rPr>
          <w:rFonts w:ascii="Times New Roman" w:hAnsi="Times New Roman"/>
          <w:sz w:val="24"/>
          <w:szCs w:val="24"/>
        </w:rPr>
        <w:t>2012)</w:t>
      </w:r>
      <w:r w:rsidR="001E2047">
        <w:rPr>
          <w:rFonts w:ascii="Times New Roman" w:hAnsi="Times New Roman"/>
          <w:sz w:val="24"/>
          <w:szCs w:val="24"/>
        </w:rPr>
        <w:t>;</w:t>
      </w:r>
      <w:r w:rsidR="00586846">
        <w:rPr>
          <w:rFonts w:ascii="Times New Roman" w:hAnsi="Times New Roman"/>
          <w:sz w:val="24"/>
          <w:szCs w:val="24"/>
        </w:rPr>
        <w:t xml:space="preserve"> </w:t>
      </w:r>
      <w:r w:rsidRPr="00961950">
        <w:rPr>
          <w:rFonts w:ascii="Times New Roman" w:hAnsi="Times New Roman"/>
          <w:noProof/>
          <w:sz w:val="24"/>
          <w:szCs w:val="24"/>
        </w:rPr>
        <w:t>(</w:t>
      </w:r>
      <w:r w:rsidRPr="00961950">
        <w:rPr>
          <w:rFonts w:ascii="Times New Roman" w:hAnsi="Times New Roman"/>
          <w:sz w:val="24"/>
          <w:szCs w:val="24"/>
        </w:rPr>
        <w:t xml:space="preserve">d) </w:t>
      </w:r>
      <w:r w:rsidR="001E2047">
        <w:rPr>
          <w:rFonts w:ascii="Times New Roman" w:hAnsi="Times New Roman"/>
          <w:noProof/>
          <w:sz w:val="24"/>
          <w:szCs w:val="24"/>
        </w:rPr>
        <w:t>Tipper et al. (</w:t>
      </w:r>
      <w:r w:rsidR="00586846" w:rsidRPr="00961950">
        <w:rPr>
          <w:rFonts w:ascii="Times New Roman" w:hAnsi="Times New Roman"/>
          <w:noProof/>
          <w:sz w:val="24"/>
          <w:szCs w:val="24"/>
        </w:rPr>
        <w:t>2006b)</w:t>
      </w:r>
      <w:r w:rsidR="001E2047">
        <w:rPr>
          <w:rFonts w:ascii="Times New Roman" w:hAnsi="Times New Roman"/>
          <w:noProof/>
          <w:sz w:val="24"/>
          <w:szCs w:val="24"/>
        </w:rPr>
        <w:t>;</w:t>
      </w:r>
      <w:r w:rsidRPr="00961950">
        <w:rPr>
          <w:rFonts w:ascii="Times New Roman" w:hAnsi="Times New Roman"/>
          <w:sz w:val="24"/>
          <w:szCs w:val="24"/>
        </w:rPr>
        <w:t xml:space="preserve"> e) </w:t>
      </w:r>
      <w:r w:rsidR="00586846" w:rsidRPr="00961950">
        <w:rPr>
          <w:rFonts w:ascii="Times New Roman" w:hAnsi="Times New Roman"/>
          <w:noProof/>
          <w:sz w:val="24"/>
          <w:szCs w:val="24"/>
        </w:rPr>
        <w:t>Wo</w:t>
      </w:r>
      <w:r w:rsidR="001E2047">
        <w:rPr>
          <w:rFonts w:ascii="Times New Roman" w:hAnsi="Times New Roman"/>
          <w:noProof/>
          <w:sz w:val="24"/>
          <w:szCs w:val="24"/>
        </w:rPr>
        <w:t>mbacher et al. (</w:t>
      </w:r>
      <w:r w:rsidR="00586846" w:rsidRPr="00961950">
        <w:rPr>
          <w:rFonts w:ascii="Times New Roman" w:hAnsi="Times New Roman"/>
          <w:noProof/>
          <w:sz w:val="24"/>
          <w:szCs w:val="24"/>
        </w:rPr>
        <w:t>2011)</w:t>
      </w:r>
      <w:r w:rsidR="001E2047">
        <w:rPr>
          <w:rFonts w:ascii="Times New Roman" w:hAnsi="Times New Roman"/>
          <w:noProof/>
          <w:sz w:val="24"/>
          <w:szCs w:val="24"/>
        </w:rPr>
        <w:t>;</w:t>
      </w:r>
      <w:r w:rsidRPr="00961950">
        <w:rPr>
          <w:rFonts w:ascii="Times New Roman" w:hAnsi="Times New Roman"/>
          <w:sz w:val="24"/>
          <w:szCs w:val="24"/>
        </w:rPr>
        <w:t xml:space="preserve"> f) </w:t>
      </w:r>
      <w:r w:rsidR="00586846">
        <w:rPr>
          <w:rFonts w:ascii="Times New Roman" w:hAnsi="Times New Roman"/>
          <w:noProof/>
          <w:sz w:val="24"/>
          <w:szCs w:val="24"/>
        </w:rPr>
        <w:t>includes dolomitisation</w:t>
      </w:r>
      <w:r w:rsidR="001E2047">
        <w:rPr>
          <w:rFonts w:ascii="Times New Roman" w:hAnsi="Times New Roman"/>
          <w:noProof/>
          <w:sz w:val="24"/>
          <w:szCs w:val="24"/>
        </w:rPr>
        <w:t>;</w:t>
      </w:r>
      <w:r w:rsidR="00586846">
        <w:rPr>
          <w:rFonts w:ascii="Times New Roman" w:hAnsi="Times New Roman"/>
          <w:noProof/>
          <w:sz w:val="24"/>
          <w:szCs w:val="24"/>
        </w:rPr>
        <w:t xml:space="preserve"> </w:t>
      </w:r>
      <w:r w:rsidRPr="00961950">
        <w:rPr>
          <w:rFonts w:ascii="Times New Roman" w:hAnsi="Times New Roman"/>
          <w:sz w:val="24"/>
          <w:szCs w:val="24"/>
        </w:rPr>
        <w:t xml:space="preserve">g) </w:t>
      </w:r>
      <w:r w:rsidR="00586846">
        <w:rPr>
          <w:rFonts w:ascii="Times New Roman" w:hAnsi="Times New Roman"/>
          <w:noProof/>
          <w:sz w:val="24"/>
          <w:szCs w:val="24"/>
        </w:rPr>
        <w:t>removal through hydrothermal activity</w:t>
      </w:r>
      <w:r w:rsidR="001E2047">
        <w:rPr>
          <w:rFonts w:ascii="Times New Roman" w:hAnsi="Times New Roman"/>
          <w:noProof/>
          <w:sz w:val="24"/>
          <w:szCs w:val="24"/>
        </w:rPr>
        <w:t>;</w:t>
      </w:r>
      <w:r w:rsidRPr="00961950">
        <w:rPr>
          <w:rFonts w:ascii="Times New Roman" w:hAnsi="Times New Roman"/>
          <w:sz w:val="24"/>
          <w:szCs w:val="24"/>
        </w:rPr>
        <w:t xml:space="preserve"> h) </w:t>
      </w:r>
      <w:r w:rsidR="001E2047">
        <w:rPr>
          <w:rFonts w:ascii="Times New Roman" w:hAnsi="Times New Roman"/>
          <w:noProof/>
          <w:sz w:val="24"/>
          <w:szCs w:val="24"/>
        </w:rPr>
        <w:t>Griffith et al.</w:t>
      </w:r>
      <w:r w:rsidR="00586846" w:rsidRPr="00961950">
        <w:rPr>
          <w:rFonts w:ascii="Times New Roman" w:hAnsi="Times New Roman"/>
          <w:noProof/>
          <w:sz w:val="24"/>
          <w:szCs w:val="24"/>
        </w:rPr>
        <w:t xml:space="preserve"> </w:t>
      </w:r>
      <w:r w:rsidR="001E2047">
        <w:rPr>
          <w:rFonts w:ascii="Times New Roman" w:hAnsi="Times New Roman"/>
          <w:noProof/>
          <w:sz w:val="24"/>
          <w:szCs w:val="24"/>
        </w:rPr>
        <w:t>(</w:t>
      </w:r>
      <w:r w:rsidR="00586846" w:rsidRPr="00961950">
        <w:rPr>
          <w:rFonts w:ascii="Times New Roman" w:hAnsi="Times New Roman"/>
          <w:noProof/>
          <w:sz w:val="24"/>
          <w:szCs w:val="24"/>
        </w:rPr>
        <w:t>2008)</w:t>
      </w:r>
      <w:r w:rsidR="00FC65AA">
        <w:rPr>
          <w:rFonts w:ascii="Times New Roman" w:hAnsi="Times New Roman"/>
          <w:noProof/>
          <w:sz w:val="24"/>
          <w:szCs w:val="24"/>
        </w:rPr>
        <w:t>;</w:t>
      </w:r>
      <w:r w:rsidRPr="00961950">
        <w:rPr>
          <w:rFonts w:ascii="Times New Roman" w:hAnsi="Times New Roman"/>
          <w:sz w:val="24"/>
          <w:szCs w:val="24"/>
        </w:rPr>
        <w:t xml:space="preserve"> i)</w:t>
      </w:r>
      <w:r w:rsidR="00FC65AA">
        <w:rPr>
          <w:rFonts w:ascii="Times New Roman" w:hAnsi="Times New Roman"/>
          <w:sz w:val="24"/>
          <w:szCs w:val="24"/>
        </w:rPr>
        <w:t xml:space="preserve"> </w:t>
      </w:r>
      <w:r w:rsidR="00586846">
        <w:rPr>
          <w:rFonts w:ascii="Times New Roman" w:hAnsi="Times New Roman"/>
          <w:sz w:val="24"/>
          <w:szCs w:val="24"/>
        </w:rPr>
        <w:t>Fantl</w:t>
      </w:r>
      <w:r w:rsidR="00FC65AA">
        <w:rPr>
          <w:rFonts w:ascii="Times New Roman" w:hAnsi="Times New Roman"/>
          <w:sz w:val="24"/>
          <w:szCs w:val="24"/>
        </w:rPr>
        <w:t>e and Tipper</w:t>
      </w:r>
      <w:r w:rsidR="00586846">
        <w:rPr>
          <w:rFonts w:ascii="Times New Roman" w:hAnsi="Times New Roman"/>
          <w:sz w:val="24"/>
          <w:szCs w:val="24"/>
        </w:rPr>
        <w:t xml:space="preserve"> </w:t>
      </w:r>
      <w:r w:rsidR="00FC65AA">
        <w:rPr>
          <w:rFonts w:ascii="Times New Roman" w:hAnsi="Times New Roman"/>
          <w:sz w:val="24"/>
          <w:szCs w:val="24"/>
        </w:rPr>
        <w:t>(</w:t>
      </w:r>
      <w:r w:rsidR="00586846">
        <w:rPr>
          <w:rFonts w:ascii="Times New Roman" w:hAnsi="Times New Roman"/>
          <w:sz w:val="24"/>
          <w:szCs w:val="24"/>
        </w:rPr>
        <w:t>2014)</w:t>
      </w:r>
      <w:r w:rsidR="002B5418">
        <w:rPr>
          <w:rFonts w:ascii="Times New Roman" w:hAnsi="Times New Roman"/>
          <w:sz w:val="24"/>
          <w:szCs w:val="24"/>
        </w:rPr>
        <w:t xml:space="preserve"> and references therein</w:t>
      </w:r>
      <w:r w:rsidR="00FC65AA">
        <w:rPr>
          <w:rFonts w:ascii="Times New Roman" w:hAnsi="Times New Roman"/>
          <w:sz w:val="24"/>
          <w:szCs w:val="24"/>
        </w:rPr>
        <w:t>;</w:t>
      </w:r>
      <w:r w:rsidR="00586846">
        <w:rPr>
          <w:rFonts w:ascii="Times New Roman" w:hAnsi="Times New Roman"/>
          <w:sz w:val="24"/>
          <w:szCs w:val="24"/>
        </w:rPr>
        <w:t xml:space="preserve"> </w:t>
      </w:r>
      <w:r w:rsidRPr="00961950">
        <w:rPr>
          <w:rFonts w:ascii="Times New Roman" w:hAnsi="Times New Roman"/>
          <w:sz w:val="24"/>
          <w:szCs w:val="24"/>
        </w:rPr>
        <w:t>j)</w:t>
      </w:r>
      <w:r w:rsidR="00586846">
        <w:rPr>
          <w:rFonts w:ascii="Times New Roman" w:hAnsi="Times New Roman"/>
          <w:sz w:val="24"/>
          <w:szCs w:val="24"/>
        </w:rPr>
        <w:t xml:space="preserve"> dolomitisation may be an important component of the carbonate flux</w:t>
      </w:r>
      <w:r w:rsidRPr="00961950">
        <w:rPr>
          <w:rFonts w:ascii="Times New Roman" w:hAnsi="Times New Roman"/>
          <w:sz w:val="24"/>
          <w:szCs w:val="24"/>
        </w:rPr>
        <w:t xml:space="preserve">. </w:t>
      </w:r>
      <w:r w:rsidR="00692442">
        <w:rPr>
          <w:rFonts w:ascii="Times New Roman" w:hAnsi="Times New Roman"/>
          <w:sz w:val="24"/>
          <w:szCs w:val="24"/>
        </w:rPr>
        <w:t xml:space="preserve">Modern </w:t>
      </w:r>
      <w:r w:rsidRPr="00961950">
        <w:rPr>
          <w:rFonts w:ascii="Times New Roman" w:hAnsi="Times New Roman"/>
          <w:sz w:val="24"/>
          <w:szCs w:val="24"/>
        </w:rPr>
        <w:sym w:font="Symbol" w:char="0064"/>
      </w:r>
      <w:r w:rsidRPr="00961950">
        <w:rPr>
          <w:rFonts w:ascii="Times New Roman" w:hAnsi="Times New Roman"/>
          <w:sz w:val="24"/>
          <w:szCs w:val="24"/>
          <w:vertAlign w:val="superscript"/>
        </w:rPr>
        <w:t>26</w:t>
      </w:r>
      <w:r w:rsidRPr="00961950">
        <w:rPr>
          <w:rFonts w:ascii="Times New Roman" w:hAnsi="Times New Roman"/>
          <w:sz w:val="24"/>
          <w:szCs w:val="24"/>
        </w:rPr>
        <w:t>Mg</w:t>
      </w:r>
      <w:r w:rsidRPr="00961950">
        <w:rPr>
          <w:rFonts w:ascii="Times New Roman" w:hAnsi="Times New Roman"/>
          <w:sz w:val="24"/>
          <w:szCs w:val="24"/>
          <w:vertAlign w:val="subscript"/>
        </w:rPr>
        <w:t>sw</w:t>
      </w:r>
      <w:r w:rsidRPr="00961950">
        <w:rPr>
          <w:rFonts w:ascii="Times New Roman" w:hAnsi="Times New Roman"/>
          <w:sz w:val="24"/>
          <w:szCs w:val="24"/>
        </w:rPr>
        <w:t xml:space="preserve"> and δ</w:t>
      </w:r>
      <w:r w:rsidRPr="00961950">
        <w:rPr>
          <w:rFonts w:ascii="Times New Roman" w:hAnsi="Times New Roman"/>
          <w:sz w:val="24"/>
          <w:szCs w:val="24"/>
          <w:vertAlign w:val="superscript"/>
        </w:rPr>
        <w:t>11</w:t>
      </w:r>
      <w:r w:rsidRPr="00961950">
        <w:rPr>
          <w:rFonts w:ascii="Times New Roman" w:hAnsi="Times New Roman"/>
          <w:sz w:val="24"/>
          <w:szCs w:val="24"/>
        </w:rPr>
        <w:t>B</w:t>
      </w:r>
      <w:r w:rsidRPr="00961950">
        <w:rPr>
          <w:rFonts w:ascii="Times New Roman" w:hAnsi="Times New Roman"/>
          <w:sz w:val="24"/>
          <w:szCs w:val="24"/>
          <w:vertAlign w:val="subscript"/>
        </w:rPr>
        <w:t xml:space="preserve">sw </w:t>
      </w:r>
      <w:r w:rsidRPr="00961950">
        <w:rPr>
          <w:rFonts w:ascii="Times New Roman" w:hAnsi="Times New Roman"/>
          <w:sz w:val="24"/>
          <w:szCs w:val="24"/>
        </w:rPr>
        <w:t xml:space="preserve">from </w:t>
      </w:r>
      <w:r w:rsidR="00FC65AA">
        <w:rPr>
          <w:rFonts w:ascii="Times New Roman" w:hAnsi="Times New Roman"/>
          <w:noProof/>
          <w:sz w:val="24"/>
          <w:szCs w:val="24"/>
        </w:rPr>
        <w:t>Foster et al.</w:t>
      </w:r>
      <w:r w:rsidRPr="00961950">
        <w:rPr>
          <w:rFonts w:ascii="Times New Roman" w:hAnsi="Times New Roman"/>
          <w:noProof/>
          <w:sz w:val="24"/>
          <w:szCs w:val="24"/>
        </w:rPr>
        <w:t xml:space="preserve"> (2010)</w:t>
      </w:r>
      <w:r w:rsidRPr="00961950">
        <w:rPr>
          <w:rFonts w:ascii="Times New Roman" w:hAnsi="Times New Roman"/>
          <w:sz w:val="24"/>
          <w:szCs w:val="24"/>
        </w:rPr>
        <w:t xml:space="preserve">, </w:t>
      </w:r>
      <w:r w:rsidRPr="00961950">
        <w:rPr>
          <w:rFonts w:ascii="Times New Roman" w:hAnsi="Times New Roman"/>
          <w:sz w:val="24"/>
          <w:szCs w:val="24"/>
        </w:rPr>
        <w:sym w:font="Symbol" w:char="0064"/>
      </w:r>
      <w:r w:rsidRPr="00961950">
        <w:rPr>
          <w:rFonts w:ascii="Times New Roman" w:hAnsi="Times New Roman"/>
          <w:sz w:val="24"/>
          <w:szCs w:val="24"/>
          <w:vertAlign w:val="superscript"/>
        </w:rPr>
        <w:t>7</w:t>
      </w:r>
      <w:r w:rsidRPr="00961950">
        <w:rPr>
          <w:rFonts w:ascii="Times New Roman" w:hAnsi="Times New Roman"/>
          <w:sz w:val="24"/>
          <w:szCs w:val="24"/>
        </w:rPr>
        <w:t>Li</w:t>
      </w:r>
      <w:r w:rsidRPr="00961950">
        <w:rPr>
          <w:rFonts w:ascii="Times New Roman" w:hAnsi="Times New Roman"/>
          <w:sz w:val="24"/>
          <w:szCs w:val="24"/>
          <w:vertAlign w:val="subscript"/>
        </w:rPr>
        <w:t>sw</w:t>
      </w:r>
      <w:r w:rsidRPr="00961950">
        <w:rPr>
          <w:rFonts w:ascii="Times New Roman" w:hAnsi="Times New Roman"/>
          <w:sz w:val="24"/>
          <w:szCs w:val="24"/>
        </w:rPr>
        <w:t xml:space="preserve"> from </w:t>
      </w:r>
      <w:r w:rsidR="00FC65AA">
        <w:rPr>
          <w:rFonts w:ascii="Times New Roman" w:hAnsi="Times New Roman"/>
          <w:noProof/>
          <w:sz w:val="24"/>
          <w:szCs w:val="24"/>
        </w:rPr>
        <w:t>Tomascak</w:t>
      </w:r>
      <w:r w:rsidRPr="00961950">
        <w:rPr>
          <w:rFonts w:ascii="Times New Roman" w:hAnsi="Times New Roman"/>
          <w:noProof/>
          <w:sz w:val="24"/>
          <w:szCs w:val="24"/>
        </w:rPr>
        <w:t xml:space="preserve"> (2004)</w:t>
      </w:r>
      <w:r w:rsidRPr="00961950">
        <w:rPr>
          <w:rFonts w:ascii="Times New Roman" w:hAnsi="Times New Roman"/>
          <w:sz w:val="24"/>
          <w:szCs w:val="24"/>
        </w:rPr>
        <w:t xml:space="preserve">. </w:t>
      </w:r>
      <w:r w:rsidR="006A44A8">
        <w:rPr>
          <w:rFonts w:ascii="Times New Roman" w:hAnsi="Times New Roman"/>
          <w:sz w:val="24"/>
          <w:szCs w:val="24"/>
        </w:rPr>
        <w:t>T</w:t>
      </w:r>
      <w:r w:rsidR="00181A2E">
        <w:rPr>
          <w:rFonts w:ascii="Times New Roman" w:hAnsi="Times New Roman"/>
          <w:sz w:val="24"/>
          <w:szCs w:val="24"/>
        </w:rPr>
        <w:t>he</w:t>
      </w:r>
      <w:r w:rsidRPr="00961950">
        <w:rPr>
          <w:rFonts w:ascii="Times New Roman" w:hAnsi="Times New Roman"/>
          <w:sz w:val="24"/>
          <w:szCs w:val="24"/>
        </w:rPr>
        <w:t xml:space="preserve"> </w:t>
      </w:r>
      <w:r w:rsidRPr="00961950">
        <w:rPr>
          <w:rFonts w:ascii="Times New Roman" w:hAnsi="Times New Roman"/>
          <w:sz w:val="24"/>
          <w:szCs w:val="24"/>
        </w:rPr>
        <w:sym w:font="Symbol" w:char="0064"/>
      </w:r>
      <w:r w:rsidRPr="00961950">
        <w:rPr>
          <w:rFonts w:ascii="Times New Roman" w:hAnsi="Times New Roman"/>
          <w:sz w:val="24"/>
          <w:szCs w:val="24"/>
          <w:vertAlign w:val="superscript"/>
        </w:rPr>
        <w:t>44/40</w:t>
      </w:r>
      <w:r w:rsidRPr="00961950">
        <w:rPr>
          <w:rFonts w:ascii="Times New Roman" w:hAnsi="Times New Roman"/>
          <w:sz w:val="24"/>
          <w:szCs w:val="24"/>
        </w:rPr>
        <w:t>Ca</w:t>
      </w:r>
      <w:r w:rsidR="00181A2E">
        <w:rPr>
          <w:rFonts w:ascii="Times New Roman" w:hAnsi="Times New Roman"/>
          <w:sz w:val="24"/>
          <w:szCs w:val="24"/>
          <w:vertAlign w:val="subscript"/>
        </w:rPr>
        <w:t xml:space="preserve"> </w:t>
      </w:r>
      <w:r w:rsidR="00181A2E">
        <w:rPr>
          <w:rFonts w:ascii="Times New Roman" w:hAnsi="Times New Roman"/>
          <w:sz w:val="24"/>
          <w:szCs w:val="24"/>
        </w:rPr>
        <w:t>presented here</w:t>
      </w:r>
      <w:r w:rsidR="006A44A8">
        <w:rPr>
          <w:rFonts w:ascii="Times New Roman" w:hAnsi="Times New Roman"/>
          <w:sz w:val="24"/>
          <w:szCs w:val="24"/>
        </w:rPr>
        <w:t xml:space="preserve"> was measured relative to seawater</w:t>
      </w:r>
      <w:r w:rsidR="00181A2E">
        <w:rPr>
          <w:rFonts w:ascii="Times New Roman" w:hAnsi="Times New Roman"/>
          <w:sz w:val="24"/>
          <w:szCs w:val="24"/>
        </w:rPr>
        <w:t xml:space="preserve"> and hence</w:t>
      </w:r>
      <w:r w:rsidR="006A44A8">
        <w:rPr>
          <w:rFonts w:ascii="Times New Roman" w:hAnsi="Times New Roman"/>
          <w:sz w:val="24"/>
          <w:szCs w:val="24"/>
        </w:rPr>
        <w:t xml:space="preserve"> seawater</w:t>
      </w:r>
      <w:r w:rsidR="00181A2E">
        <w:rPr>
          <w:rFonts w:ascii="Times New Roman" w:hAnsi="Times New Roman"/>
          <w:sz w:val="24"/>
          <w:szCs w:val="24"/>
        </w:rPr>
        <w:t xml:space="preserve"> has a </w:t>
      </w:r>
      <w:r w:rsidR="00181A2E" w:rsidRPr="00961950">
        <w:rPr>
          <w:rFonts w:ascii="Times New Roman" w:hAnsi="Times New Roman"/>
          <w:sz w:val="24"/>
          <w:szCs w:val="24"/>
        </w:rPr>
        <w:sym w:font="Symbol" w:char="0064"/>
      </w:r>
      <w:r w:rsidR="00181A2E" w:rsidRPr="00961950">
        <w:rPr>
          <w:rFonts w:ascii="Times New Roman" w:hAnsi="Times New Roman"/>
          <w:sz w:val="24"/>
          <w:szCs w:val="24"/>
          <w:vertAlign w:val="superscript"/>
        </w:rPr>
        <w:t>44/40</w:t>
      </w:r>
      <w:r w:rsidR="00181A2E" w:rsidRPr="00961950">
        <w:rPr>
          <w:rFonts w:ascii="Times New Roman" w:hAnsi="Times New Roman"/>
          <w:sz w:val="24"/>
          <w:szCs w:val="24"/>
        </w:rPr>
        <w:t>Ca</w:t>
      </w:r>
      <w:r w:rsidR="00181A2E" w:rsidRPr="00961950">
        <w:rPr>
          <w:rFonts w:ascii="Times New Roman" w:hAnsi="Times New Roman"/>
          <w:sz w:val="24"/>
          <w:szCs w:val="24"/>
          <w:vertAlign w:val="subscript"/>
        </w:rPr>
        <w:t xml:space="preserve">sw </w:t>
      </w:r>
      <w:r w:rsidR="00181A2E">
        <w:rPr>
          <w:rFonts w:ascii="Times New Roman" w:hAnsi="Times New Roman"/>
          <w:sz w:val="24"/>
          <w:szCs w:val="24"/>
        </w:rPr>
        <w:t>of 0 permil by definition</w:t>
      </w:r>
      <w:r w:rsidRPr="00961950">
        <w:rPr>
          <w:rFonts w:ascii="Times New Roman" w:hAnsi="Times New Roman"/>
          <w:sz w:val="24"/>
          <w:szCs w:val="24"/>
        </w:rPr>
        <w:t>.</w:t>
      </w:r>
      <w:bookmarkEnd w:id="24"/>
      <w:r w:rsidRPr="00961950">
        <w:rPr>
          <w:rFonts w:ascii="Times New Roman" w:hAnsi="Times New Roman"/>
          <w:sz w:val="24"/>
          <w:szCs w:val="24"/>
        </w:rPr>
        <w:t xml:space="preserve"> </w:t>
      </w:r>
    </w:p>
    <w:p w14:paraId="3585186E" w14:textId="77777777" w:rsidR="00961950" w:rsidRDefault="00961950"/>
    <w:sectPr w:rsidR="00961950" w:rsidSect="00157F2E">
      <w:footerReference w:type="even" r:id="rId9"/>
      <w:footerReference w:type="default" r:id="rId10"/>
      <w:pgSz w:w="11900" w:h="16840"/>
      <w:pgMar w:top="1440" w:right="1800" w:bottom="1440" w:left="1843" w:header="708" w:footer="708" w:gutter="0"/>
      <w:lnNumType w:countBy="1" w:restart="continuous"/>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11982" w14:textId="77777777" w:rsidR="00EC2D26" w:rsidRDefault="00EC2D26" w:rsidP="00157F2E">
      <w:pPr>
        <w:spacing w:after="0" w:line="240" w:lineRule="auto"/>
      </w:pPr>
      <w:r>
        <w:separator/>
      </w:r>
    </w:p>
  </w:endnote>
  <w:endnote w:type="continuationSeparator" w:id="0">
    <w:p w14:paraId="31F211E6" w14:textId="77777777" w:rsidR="00EC2D26" w:rsidRDefault="00EC2D26" w:rsidP="0015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Gulliver">
    <w:altName w:val="Times New Roman"/>
    <w:panose1 w:val="00000000000000000000"/>
    <w:charset w:val="4D"/>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CFA43" w14:textId="77777777" w:rsidR="00EC2D26" w:rsidRDefault="00EC2D26" w:rsidP="00B175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247D05" w14:textId="77777777" w:rsidR="00EC2D26" w:rsidRDefault="00EC2D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6722D" w14:textId="77777777" w:rsidR="00EC2D26" w:rsidRDefault="00EC2D26" w:rsidP="00B175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2FEF">
      <w:rPr>
        <w:rStyle w:val="PageNumber"/>
        <w:noProof/>
      </w:rPr>
      <w:t>1</w:t>
    </w:r>
    <w:r>
      <w:rPr>
        <w:rStyle w:val="PageNumber"/>
      </w:rPr>
      <w:fldChar w:fldCharType="end"/>
    </w:r>
  </w:p>
  <w:p w14:paraId="3ADB5707" w14:textId="77777777" w:rsidR="00EC2D26" w:rsidRDefault="00EC2D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1FAEB" w14:textId="77777777" w:rsidR="00EC2D26" w:rsidRDefault="00EC2D26" w:rsidP="00157F2E">
      <w:pPr>
        <w:spacing w:after="0" w:line="240" w:lineRule="auto"/>
      </w:pPr>
      <w:r>
        <w:separator/>
      </w:r>
    </w:p>
  </w:footnote>
  <w:footnote w:type="continuationSeparator" w:id="0">
    <w:p w14:paraId="5858C46D" w14:textId="77777777" w:rsidR="00EC2D26" w:rsidRDefault="00EC2D26" w:rsidP="00157F2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FA5B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948A902"/>
    <w:lvl w:ilvl="0">
      <w:start w:val="1"/>
      <w:numFmt w:val="decimal"/>
      <w:lvlText w:val="%1."/>
      <w:lvlJc w:val="left"/>
      <w:pPr>
        <w:tabs>
          <w:tab w:val="num" w:pos="1492"/>
        </w:tabs>
        <w:ind w:left="1492" w:hanging="360"/>
      </w:pPr>
    </w:lvl>
  </w:abstractNum>
  <w:abstractNum w:abstractNumId="2">
    <w:nsid w:val="FFFFFF7D"/>
    <w:multiLevelType w:val="singleLevel"/>
    <w:tmpl w:val="BEE4DA1A"/>
    <w:lvl w:ilvl="0">
      <w:start w:val="1"/>
      <w:numFmt w:val="decimal"/>
      <w:lvlText w:val="%1."/>
      <w:lvlJc w:val="left"/>
      <w:pPr>
        <w:tabs>
          <w:tab w:val="num" w:pos="1209"/>
        </w:tabs>
        <w:ind w:left="1209" w:hanging="360"/>
      </w:pPr>
    </w:lvl>
  </w:abstractNum>
  <w:abstractNum w:abstractNumId="3">
    <w:nsid w:val="FFFFFF7E"/>
    <w:multiLevelType w:val="singleLevel"/>
    <w:tmpl w:val="D7684D10"/>
    <w:lvl w:ilvl="0">
      <w:start w:val="1"/>
      <w:numFmt w:val="decimal"/>
      <w:lvlText w:val="%1."/>
      <w:lvlJc w:val="left"/>
      <w:pPr>
        <w:tabs>
          <w:tab w:val="num" w:pos="926"/>
        </w:tabs>
        <w:ind w:left="926" w:hanging="360"/>
      </w:pPr>
    </w:lvl>
  </w:abstractNum>
  <w:abstractNum w:abstractNumId="4">
    <w:nsid w:val="FFFFFF7F"/>
    <w:multiLevelType w:val="singleLevel"/>
    <w:tmpl w:val="36CCBB80"/>
    <w:lvl w:ilvl="0">
      <w:start w:val="1"/>
      <w:numFmt w:val="decimal"/>
      <w:lvlText w:val="%1."/>
      <w:lvlJc w:val="left"/>
      <w:pPr>
        <w:tabs>
          <w:tab w:val="num" w:pos="643"/>
        </w:tabs>
        <w:ind w:left="643" w:hanging="360"/>
      </w:pPr>
    </w:lvl>
  </w:abstractNum>
  <w:abstractNum w:abstractNumId="5">
    <w:nsid w:val="FFFFFF80"/>
    <w:multiLevelType w:val="singleLevel"/>
    <w:tmpl w:val="6840F2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5A2780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36C440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C6477D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3FC9C82"/>
    <w:lvl w:ilvl="0">
      <w:start w:val="1"/>
      <w:numFmt w:val="decimal"/>
      <w:lvlText w:val="%1."/>
      <w:lvlJc w:val="left"/>
      <w:pPr>
        <w:tabs>
          <w:tab w:val="num" w:pos="360"/>
        </w:tabs>
        <w:ind w:left="360" w:hanging="360"/>
      </w:pPr>
    </w:lvl>
  </w:abstractNum>
  <w:abstractNum w:abstractNumId="10">
    <w:nsid w:val="FFFFFF89"/>
    <w:multiLevelType w:val="singleLevel"/>
    <w:tmpl w:val="B5366BE2"/>
    <w:lvl w:ilvl="0">
      <w:start w:val="1"/>
      <w:numFmt w:val="bullet"/>
      <w:lvlText w:val=""/>
      <w:lvlJc w:val="left"/>
      <w:pPr>
        <w:tabs>
          <w:tab w:val="num" w:pos="360"/>
        </w:tabs>
        <w:ind w:left="360" w:hanging="360"/>
      </w:pPr>
      <w:rPr>
        <w:rFonts w:ascii="Symbol" w:hAnsi="Symbol" w:hint="default"/>
      </w:rPr>
    </w:lvl>
  </w:abstractNum>
  <w:abstractNum w:abstractNumId="11">
    <w:nsid w:val="00137CE7"/>
    <w:multiLevelType w:val="multilevel"/>
    <w:tmpl w:val="0B9C9A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4AA7ECF"/>
    <w:multiLevelType w:val="hybridMultilevel"/>
    <w:tmpl w:val="36F48A00"/>
    <w:lvl w:ilvl="0" w:tplc="0809000F">
      <w:start w:val="1"/>
      <w:numFmt w:val="decimal"/>
      <w:lvlText w:val="%1."/>
      <w:lvlJc w:val="left"/>
      <w:pPr>
        <w:ind w:left="726" w:hanging="360"/>
      </w:p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13">
    <w:nsid w:val="155E6796"/>
    <w:multiLevelType w:val="hybridMultilevel"/>
    <w:tmpl w:val="87429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5B5486"/>
    <w:multiLevelType w:val="multilevel"/>
    <w:tmpl w:val="D934590C"/>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5">
    <w:nsid w:val="212659B6"/>
    <w:multiLevelType w:val="hybridMultilevel"/>
    <w:tmpl w:val="F5DE118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9C642D"/>
    <w:multiLevelType w:val="hybridMultilevel"/>
    <w:tmpl w:val="497A48F2"/>
    <w:lvl w:ilvl="0" w:tplc="39FAB8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B676AD"/>
    <w:multiLevelType w:val="hybridMultilevel"/>
    <w:tmpl w:val="87429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431A4B"/>
    <w:multiLevelType w:val="multilevel"/>
    <w:tmpl w:val="694034CE"/>
    <w:lvl w:ilvl="0">
      <w:start w:val="1"/>
      <w:numFmt w:val="upperLetter"/>
      <w:pStyle w:val="AppendixMain"/>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68C4AFF"/>
    <w:multiLevelType w:val="multilevel"/>
    <w:tmpl w:val="CE6A349E"/>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0">
    <w:nsid w:val="411F0023"/>
    <w:multiLevelType w:val="multilevel"/>
    <w:tmpl w:val="A84E3A52"/>
    <w:lvl w:ilvl="0">
      <w:start w:val="1"/>
      <w:numFmt w:val="decimal"/>
      <w:pStyle w:val="Heading1"/>
      <w:lvlText w:val="Chapter %1: "/>
      <w:lvlJc w:val="left"/>
      <w:pPr>
        <w:tabs>
          <w:tab w:val="num" w:pos="567"/>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i w:val="0"/>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21">
    <w:nsid w:val="4EAF56A9"/>
    <w:multiLevelType w:val="hybridMultilevel"/>
    <w:tmpl w:val="A82081E4"/>
    <w:lvl w:ilvl="0" w:tplc="4FFABD58">
      <w:start w:val="1"/>
      <w:numFmt w:val="decimal"/>
      <w:lvlText w:val="%1."/>
      <w:lvlJc w:val="left"/>
      <w:pPr>
        <w:ind w:left="720" w:hanging="360"/>
      </w:pPr>
      <w:rPr>
        <w:rFonts w:cs="Times New Roman" w:hint="default"/>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8A4451E"/>
    <w:multiLevelType w:val="hybridMultilevel"/>
    <w:tmpl w:val="6C487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9667E9"/>
    <w:multiLevelType w:val="multilevel"/>
    <w:tmpl w:val="24DEBD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3D7A65"/>
    <w:multiLevelType w:val="multilevel"/>
    <w:tmpl w:val="980C76B0"/>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5">
    <w:nsid w:val="5F853FEA"/>
    <w:multiLevelType w:val="hybridMultilevel"/>
    <w:tmpl w:val="87429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00441D"/>
    <w:multiLevelType w:val="multilevel"/>
    <w:tmpl w:val="9252C28E"/>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7">
    <w:nsid w:val="7C870C66"/>
    <w:multiLevelType w:val="multilevel"/>
    <w:tmpl w:val="B8CAC1AC"/>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8">
    <w:nsid w:val="7FAE0699"/>
    <w:multiLevelType w:val="multilevel"/>
    <w:tmpl w:val="9DEE5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2"/>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6"/>
  </w:num>
  <w:num w:numId="17">
    <w:abstractNumId w:val="0"/>
  </w:num>
  <w:num w:numId="18">
    <w:abstractNumId w:val="17"/>
  </w:num>
  <w:num w:numId="19">
    <w:abstractNumId w:val="24"/>
  </w:num>
  <w:num w:numId="20">
    <w:abstractNumId w:val="11"/>
  </w:num>
  <w:num w:numId="21">
    <w:abstractNumId w:val="27"/>
  </w:num>
  <w:num w:numId="22">
    <w:abstractNumId w:val="13"/>
  </w:num>
  <w:num w:numId="23">
    <w:abstractNumId w:val="22"/>
  </w:num>
  <w:num w:numId="24">
    <w:abstractNumId w:val="19"/>
  </w:num>
  <w:num w:numId="25">
    <w:abstractNumId w:val="14"/>
  </w:num>
  <w:num w:numId="26">
    <w:abstractNumId w:val="25"/>
  </w:num>
  <w:num w:numId="27">
    <w:abstractNumId w:val="15"/>
  </w:num>
  <w:num w:numId="28">
    <w:abstractNumId w:val="23"/>
  </w:num>
  <w:num w:numId="29">
    <w:abstractNumId w:val="2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50"/>
    <w:rsid w:val="0000021C"/>
    <w:rsid w:val="00013036"/>
    <w:rsid w:val="00014D20"/>
    <w:rsid w:val="00015A51"/>
    <w:rsid w:val="00024F6E"/>
    <w:rsid w:val="00026485"/>
    <w:rsid w:val="0003389B"/>
    <w:rsid w:val="00044441"/>
    <w:rsid w:val="00052D4D"/>
    <w:rsid w:val="00056556"/>
    <w:rsid w:val="00060B70"/>
    <w:rsid w:val="000648CA"/>
    <w:rsid w:val="000662A3"/>
    <w:rsid w:val="0006779F"/>
    <w:rsid w:val="00070F16"/>
    <w:rsid w:val="00073C7F"/>
    <w:rsid w:val="00073F88"/>
    <w:rsid w:val="00074D31"/>
    <w:rsid w:val="00077ED6"/>
    <w:rsid w:val="00083500"/>
    <w:rsid w:val="00090FED"/>
    <w:rsid w:val="00093767"/>
    <w:rsid w:val="000A59FC"/>
    <w:rsid w:val="000A7F5A"/>
    <w:rsid w:val="000B26CF"/>
    <w:rsid w:val="000B37FD"/>
    <w:rsid w:val="000B79F9"/>
    <w:rsid w:val="000D1751"/>
    <w:rsid w:val="000D2DF1"/>
    <w:rsid w:val="000F32EB"/>
    <w:rsid w:val="00101C06"/>
    <w:rsid w:val="00102A50"/>
    <w:rsid w:val="00104910"/>
    <w:rsid w:val="00105156"/>
    <w:rsid w:val="00124FEA"/>
    <w:rsid w:val="00127DC7"/>
    <w:rsid w:val="00131F62"/>
    <w:rsid w:val="00136EB2"/>
    <w:rsid w:val="001418FC"/>
    <w:rsid w:val="00147DD5"/>
    <w:rsid w:val="00151DB5"/>
    <w:rsid w:val="00157F2E"/>
    <w:rsid w:val="001662B9"/>
    <w:rsid w:val="001754FA"/>
    <w:rsid w:val="001770B2"/>
    <w:rsid w:val="00181A2E"/>
    <w:rsid w:val="001975FA"/>
    <w:rsid w:val="001A1897"/>
    <w:rsid w:val="001A4010"/>
    <w:rsid w:val="001B3A00"/>
    <w:rsid w:val="001C66B5"/>
    <w:rsid w:val="001D4B1E"/>
    <w:rsid w:val="001E17C1"/>
    <w:rsid w:val="001E2047"/>
    <w:rsid w:val="001F2874"/>
    <w:rsid w:val="001F49DA"/>
    <w:rsid w:val="0020703C"/>
    <w:rsid w:val="0020799D"/>
    <w:rsid w:val="00214DEE"/>
    <w:rsid w:val="00220BE9"/>
    <w:rsid w:val="002250D7"/>
    <w:rsid w:val="002344FA"/>
    <w:rsid w:val="00234FFA"/>
    <w:rsid w:val="002448BA"/>
    <w:rsid w:val="0026598C"/>
    <w:rsid w:val="00272075"/>
    <w:rsid w:val="00284EB9"/>
    <w:rsid w:val="00286F20"/>
    <w:rsid w:val="00291381"/>
    <w:rsid w:val="002A3785"/>
    <w:rsid w:val="002A3991"/>
    <w:rsid w:val="002A509D"/>
    <w:rsid w:val="002A5305"/>
    <w:rsid w:val="002A76F2"/>
    <w:rsid w:val="002B5418"/>
    <w:rsid w:val="002D0702"/>
    <w:rsid w:val="002D2220"/>
    <w:rsid w:val="002D526E"/>
    <w:rsid w:val="002E4DCB"/>
    <w:rsid w:val="002E6BF2"/>
    <w:rsid w:val="002F5835"/>
    <w:rsid w:val="00303770"/>
    <w:rsid w:val="00310747"/>
    <w:rsid w:val="00320DBA"/>
    <w:rsid w:val="00321545"/>
    <w:rsid w:val="00325246"/>
    <w:rsid w:val="00326D0D"/>
    <w:rsid w:val="00327844"/>
    <w:rsid w:val="00333322"/>
    <w:rsid w:val="003433CB"/>
    <w:rsid w:val="003438EC"/>
    <w:rsid w:val="003442CF"/>
    <w:rsid w:val="00345C6A"/>
    <w:rsid w:val="00345D7A"/>
    <w:rsid w:val="00346823"/>
    <w:rsid w:val="00347C88"/>
    <w:rsid w:val="00353945"/>
    <w:rsid w:val="003637BE"/>
    <w:rsid w:val="00367319"/>
    <w:rsid w:val="00371E8C"/>
    <w:rsid w:val="00377B4C"/>
    <w:rsid w:val="00382898"/>
    <w:rsid w:val="00386821"/>
    <w:rsid w:val="00386CAA"/>
    <w:rsid w:val="00392273"/>
    <w:rsid w:val="00392CA3"/>
    <w:rsid w:val="00392FEF"/>
    <w:rsid w:val="00396CB6"/>
    <w:rsid w:val="003A274C"/>
    <w:rsid w:val="003A7182"/>
    <w:rsid w:val="003A7349"/>
    <w:rsid w:val="003B4216"/>
    <w:rsid w:val="003B6DE3"/>
    <w:rsid w:val="003D6460"/>
    <w:rsid w:val="003E3EC8"/>
    <w:rsid w:val="003F0756"/>
    <w:rsid w:val="003F3EDC"/>
    <w:rsid w:val="003F5818"/>
    <w:rsid w:val="003F6A73"/>
    <w:rsid w:val="004149F8"/>
    <w:rsid w:val="00417985"/>
    <w:rsid w:val="004214FE"/>
    <w:rsid w:val="00424EDB"/>
    <w:rsid w:val="00434361"/>
    <w:rsid w:val="00440DCB"/>
    <w:rsid w:val="00442EC4"/>
    <w:rsid w:val="0044612D"/>
    <w:rsid w:val="00450388"/>
    <w:rsid w:val="00450AD0"/>
    <w:rsid w:val="004540CF"/>
    <w:rsid w:val="00456DC1"/>
    <w:rsid w:val="00460EE2"/>
    <w:rsid w:val="00460FDB"/>
    <w:rsid w:val="00462253"/>
    <w:rsid w:val="004626D2"/>
    <w:rsid w:val="00462B73"/>
    <w:rsid w:val="00485E9C"/>
    <w:rsid w:val="0049170F"/>
    <w:rsid w:val="0049274C"/>
    <w:rsid w:val="00495342"/>
    <w:rsid w:val="004A1E99"/>
    <w:rsid w:val="004A3995"/>
    <w:rsid w:val="004D6322"/>
    <w:rsid w:val="004E58F1"/>
    <w:rsid w:val="004E6509"/>
    <w:rsid w:val="004E6CAE"/>
    <w:rsid w:val="004F0FF0"/>
    <w:rsid w:val="004F49D8"/>
    <w:rsid w:val="00512CC1"/>
    <w:rsid w:val="00520EA1"/>
    <w:rsid w:val="00524E65"/>
    <w:rsid w:val="00525816"/>
    <w:rsid w:val="00530B9B"/>
    <w:rsid w:val="0053360A"/>
    <w:rsid w:val="00534E1C"/>
    <w:rsid w:val="00535D4E"/>
    <w:rsid w:val="0054458C"/>
    <w:rsid w:val="00550F2D"/>
    <w:rsid w:val="00561A0B"/>
    <w:rsid w:val="00562228"/>
    <w:rsid w:val="00562724"/>
    <w:rsid w:val="005646C3"/>
    <w:rsid w:val="00575172"/>
    <w:rsid w:val="0057576D"/>
    <w:rsid w:val="005758E5"/>
    <w:rsid w:val="005776A4"/>
    <w:rsid w:val="00580F89"/>
    <w:rsid w:val="005814C2"/>
    <w:rsid w:val="00586846"/>
    <w:rsid w:val="005908AC"/>
    <w:rsid w:val="00592A01"/>
    <w:rsid w:val="005965CF"/>
    <w:rsid w:val="005A3765"/>
    <w:rsid w:val="005A4F65"/>
    <w:rsid w:val="005B1F53"/>
    <w:rsid w:val="005B5026"/>
    <w:rsid w:val="005B5DB6"/>
    <w:rsid w:val="005C09ED"/>
    <w:rsid w:val="005C7856"/>
    <w:rsid w:val="005C7D43"/>
    <w:rsid w:val="005D11FD"/>
    <w:rsid w:val="005D5FEA"/>
    <w:rsid w:val="005E21BB"/>
    <w:rsid w:val="005E54C7"/>
    <w:rsid w:val="005E630E"/>
    <w:rsid w:val="005F0C90"/>
    <w:rsid w:val="0060107E"/>
    <w:rsid w:val="0060378F"/>
    <w:rsid w:val="006077CD"/>
    <w:rsid w:val="00613A08"/>
    <w:rsid w:val="00630D6E"/>
    <w:rsid w:val="006312D6"/>
    <w:rsid w:val="00631B5A"/>
    <w:rsid w:val="00641E9A"/>
    <w:rsid w:val="00642DE2"/>
    <w:rsid w:val="0064367F"/>
    <w:rsid w:val="0065356E"/>
    <w:rsid w:val="006550C8"/>
    <w:rsid w:val="006578B8"/>
    <w:rsid w:val="006659C8"/>
    <w:rsid w:val="00666A03"/>
    <w:rsid w:val="00670B65"/>
    <w:rsid w:val="00675CB7"/>
    <w:rsid w:val="00677748"/>
    <w:rsid w:val="006803A0"/>
    <w:rsid w:val="006847B8"/>
    <w:rsid w:val="00691E9F"/>
    <w:rsid w:val="00692442"/>
    <w:rsid w:val="00693945"/>
    <w:rsid w:val="00695593"/>
    <w:rsid w:val="006A44A8"/>
    <w:rsid w:val="006A46A7"/>
    <w:rsid w:val="006A4705"/>
    <w:rsid w:val="006A4D57"/>
    <w:rsid w:val="006B08D0"/>
    <w:rsid w:val="006C08BC"/>
    <w:rsid w:val="006C3659"/>
    <w:rsid w:val="006C4B21"/>
    <w:rsid w:val="006C74FD"/>
    <w:rsid w:val="006D6E8C"/>
    <w:rsid w:val="006E435C"/>
    <w:rsid w:val="007048D4"/>
    <w:rsid w:val="00706DA1"/>
    <w:rsid w:val="00721A7A"/>
    <w:rsid w:val="00723510"/>
    <w:rsid w:val="00736568"/>
    <w:rsid w:val="00736E4B"/>
    <w:rsid w:val="00737BD8"/>
    <w:rsid w:val="00740756"/>
    <w:rsid w:val="0074587A"/>
    <w:rsid w:val="00747895"/>
    <w:rsid w:val="007526A1"/>
    <w:rsid w:val="0077256B"/>
    <w:rsid w:val="00776AB8"/>
    <w:rsid w:val="00780E5B"/>
    <w:rsid w:val="00790786"/>
    <w:rsid w:val="00793F01"/>
    <w:rsid w:val="007957C0"/>
    <w:rsid w:val="007A700D"/>
    <w:rsid w:val="007B11D0"/>
    <w:rsid w:val="007B4C36"/>
    <w:rsid w:val="007B725B"/>
    <w:rsid w:val="007C0210"/>
    <w:rsid w:val="007C2A60"/>
    <w:rsid w:val="007C3C58"/>
    <w:rsid w:val="007C5686"/>
    <w:rsid w:val="007C579F"/>
    <w:rsid w:val="007D18F1"/>
    <w:rsid w:val="007E1482"/>
    <w:rsid w:val="007E5992"/>
    <w:rsid w:val="008060B1"/>
    <w:rsid w:val="00811286"/>
    <w:rsid w:val="008132BF"/>
    <w:rsid w:val="0081474B"/>
    <w:rsid w:val="00815E1B"/>
    <w:rsid w:val="00820457"/>
    <w:rsid w:val="008207DD"/>
    <w:rsid w:val="00831460"/>
    <w:rsid w:val="008340BB"/>
    <w:rsid w:val="00837BB0"/>
    <w:rsid w:val="00846E5A"/>
    <w:rsid w:val="0085374C"/>
    <w:rsid w:val="008565E6"/>
    <w:rsid w:val="008605EF"/>
    <w:rsid w:val="00867CD9"/>
    <w:rsid w:val="008727BF"/>
    <w:rsid w:val="0087665D"/>
    <w:rsid w:val="00876B1F"/>
    <w:rsid w:val="00890BBC"/>
    <w:rsid w:val="008957BA"/>
    <w:rsid w:val="008A1B96"/>
    <w:rsid w:val="008B0392"/>
    <w:rsid w:val="008D00B2"/>
    <w:rsid w:val="008D4ACF"/>
    <w:rsid w:val="008E161B"/>
    <w:rsid w:val="008E1B73"/>
    <w:rsid w:val="008F7C7B"/>
    <w:rsid w:val="00902C08"/>
    <w:rsid w:val="00944A75"/>
    <w:rsid w:val="0094724C"/>
    <w:rsid w:val="0094758B"/>
    <w:rsid w:val="00950445"/>
    <w:rsid w:val="00956165"/>
    <w:rsid w:val="00961950"/>
    <w:rsid w:val="0096365E"/>
    <w:rsid w:val="0096591C"/>
    <w:rsid w:val="0096651C"/>
    <w:rsid w:val="00982D78"/>
    <w:rsid w:val="0099064E"/>
    <w:rsid w:val="009931F8"/>
    <w:rsid w:val="00993673"/>
    <w:rsid w:val="009941BD"/>
    <w:rsid w:val="009A2CB8"/>
    <w:rsid w:val="009A3090"/>
    <w:rsid w:val="009B0954"/>
    <w:rsid w:val="009B3167"/>
    <w:rsid w:val="009B661D"/>
    <w:rsid w:val="009C2A98"/>
    <w:rsid w:val="009C6C15"/>
    <w:rsid w:val="009C7667"/>
    <w:rsid w:val="009D1BB4"/>
    <w:rsid w:val="009E2082"/>
    <w:rsid w:val="009E3037"/>
    <w:rsid w:val="009E34D1"/>
    <w:rsid w:val="009E4AB7"/>
    <w:rsid w:val="009E6EB2"/>
    <w:rsid w:val="009F14D0"/>
    <w:rsid w:val="00A20955"/>
    <w:rsid w:val="00A26BE4"/>
    <w:rsid w:val="00A301E4"/>
    <w:rsid w:val="00A32BE2"/>
    <w:rsid w:val="00A34BD5"/>
    <w:rsid w:val="00A356FA"/>
    <w:rsid w:val="00A37CEB"/>
    <w:rsid w:val="00A55BDF"/>
    <w:rsid w:val="00A57863"/>
    <w:rsid w:val="00A664F0"/>
    <w:rsid w:val="00A7267C"/>
    <w:rsid w:val="00A83B83"/>
    <w:rsid w:val="00A83ED5"/>
    <w:rsid w:val="00A86007"/>
    <w:rsid w:val="00A96B8A"/>
    <w:rsid w:val="00AB0836"/>
    <w:rsid w:val="00AB2799"/>
    <w:rsid w:val="00AB3129"/>
    <w:rsid w:val="00AB641F"/>
    <w:rsid w:val="00AC0475"/>
    <w:rsid w:val="00AC2277"/>
    <w:rsid w:val="00AC3929"/>
    <w:rsid w:val="00AD294A"/>
    <w:rsid w:val="00AD330D"/>
    <w:rsid w:val="00AD57A9"/>
    <w:rsid w:val="00AD6327"/>
    <w:rsid w:val="00AE2D1B"/>
    <w:rsid w:val="00AE2F93"/>
    <w:rsid w:val="00AE6388"/>
    <w:rsid w:val="00AF6145"/>
    <w:rsid w:val="00B037C3"/>
    <w:rsid w:val="00B062B3"/>
    <w:rsid w:val="00B11058"/>
    <w:rsid w:val="00B14828"/>
    <w:rsid w:val="00B16A54"/>
    <w:rsid w:val="00B16C47"/>
    <w:rsid w:val="00B175EA"/>
    <w:rsid w:val="00B24F0E"/>
    <w:rsid w:val="00B32E71"/>
    <w:rsid w:val="00B46AF5"/>
    <w:rsid w:val="00B52886"/>
    <w:rsid w:val="00B57632"/>
    <w:rsid w:val="00B74AD5"/>
    <w:rsid w:val="00B76596"/>
    <w:rsid w:val="00B77E74"/>
    <w:rsid w:val="00B82BDD"/>
    <w:rsid w:val="00B91062"/>
    <w:rsid w:val="00B97592"/>
    <w:rsid w:val="00BA0C7D"/>
    <w:rsid w:val="00BB1F84"/>
    <w:rsid w:val="00BB6539"/>
    <w:rsid w:val="00BD120F"/>
    <w:rsid w:val="00BD1D1A"/>
    <w:rsid w:val="00BD634A"/>
    <w:rsid w:val="00BD6C65"/>
    <w:rsid w:val="00BE0A58"/>
    <w:rsid w:val="00BE38CE"/>
    <w:rsid w:val="00BE4198"/>
    <w:rsid w:val="00BE5D05"/>
    <w:rsid w:val="00BF4943"/>
    <w:rsid w:val="00BF4FA9"/>
    <w:rsid w:val="00C01BA0"/>
    <w:rsid w:val="00C12824"/>
    <w:rsid w:val="00C21ED5"/>
    <w:rsid w:val="00C26426"/>
    <w:rsid w:val="00C357D8"/>
    <w:rsid w:val="00C557E1"/>
    <w:rsid w:val="00C576C6"/>
    <w:rsid w:val="00C60235"/>
    <w:rsid w:val="00C60E7E"/>
    <w:rsid w:val="00C8325F"/>
    <w:rsid w:val="00C8428A"/>
    <w:rsid w:val="00C846D5"/>
    <w:rsid w:val="00C86335"/>
    <w:rsid w:val="00CC0423"/>
    <w:rsid w:val="00CC1373"/>
    <w:rsid w:val="00CC76EF"/>
    <w:rsid w:val="00CD4B3D"/>
    <w:rsid w:val="00CD7306"/>
    <w:rsid w:val="00CE0FD9"/>
    <w:rsid w:val="00CE1586"/>
    <w:rsid w:val="00CF04FC"/>
    <w:rsid w:val="00CF399D"/>
    <w:rsid w:val="00CF6B1E"/>
    <w:rsid w:val="00D10399"/>
    <w:rsid w:val="00D1065A"/>
    <w:rsid w:val="00D1104D"/>
    <w:rsid w:val="00D278DB"/>
    <w:rsid w:val="00D32A1A"/>
    <w:rsid w:val="00D33161"/>
    <w:rsid w:val="00D346DD"/>
    <w:rsid w:val="00D36762"/>
    <w:rsid w:val="00D458FC"/>
    <w:rsid w:val="00D472B1"/>
    <w:rsid w:val="00D640FC"/>
    <w:rsid w:val="00D65079"/>
    <w:rsid w:val="00D66843"/>
    <w:rsid w:val="00D752C9"/>
    <w:rsid w:val="00D8155C"/>
    <w:rsid w:val="00D846EC"/>
    <w:rsid w:val="00D905E9"/>
    <w:rsid w:val="00D937A9"/>
    <w:rsid w:val="00D9652E"/>
    <w:rsid w:val="00DA2F3F"/>
    <w:rsid w:val="00DC0046"/>
    <w:rsid w:val="00DC078B"/>
    <w:rsid w:val="00DC1140"/>
    <w:rsid w:val="00DD09BA"/>
    <w:rsid w:val="00DD5354"/>
    <w:rsid w:val="00DD56AD"/>
    <w:rsid w:val="00DE5A23"/>
    <w:rsid w:val="00DF48EC"/>
    <w:rsid w:val="00DF645B"/>
    <w:rsid w:val="00E04EB2"/>
    <w:rsid w:val="00E102A2"/>
    <w:rsid w:val="00E15C26"/>
    <w:rsid w:val="00E17DFE"/>
    <w:rsid w:val="00E21F82"/>
    <w:rsid w:val="00E2599A"/>
    <w:rsid w:val="00E351DD"/>
    <w:rsid w:val="00E37466"/>
    <w:rsid w:val="00E471D8"/>
    <w:rsid w:val="00E50386"/>
    <w:rsid w:val="00E50479"/>
    <w:rsid w:val="00E561FB"/>
    <w:rsid w:val="00E66AD8"/>
    <w:rsid w:val="00E72588"/>
    <w:rsid w:val="00E737F9"/>
    <w:rsid w:val="00E7397D"/>
    <w:rsid w:val="00E8126E"/>
    <w:rsid w:val="00E82611"/>
    <w:rsid w:val="00E86C32"/>
    <w:rsid w:val="00EB1149"/>
    <w:rsid w:val="00EB6E41"/>
    <w:rsid w:val="00EC0AFC"/>
    <w:rsid w:val="00EC2D26"/>
    <w:rsid w:val="00EC2ED5"/>
    <w:rsid w:val="00EC5018"/>
    <w:rsid w:val="00EC5D96"/>
    <w:rsid w:val="00EC78C6"/>
    <w:rsid w:val="00EE67F0"/>
    <w:rsid w:val="00EE6940"/>
    <w:rsid w:val="00EF27D9"/>
    <w:rsid w:val="00F23D4B"/>
    <w:rsid w:val="00F40920"/>
    <w:rsid w:val="00F41A68"/>
    <w:rsid w:val="00F42E19"/>
    <w:rsid w:val="00F42E5E"/>
    <w:rsid w:val="00F507DC"/>
    <w:rsid w:val="00F75991"/>
    <w:rsid w:val="00F75F0C"/>
    <w:rsid w:val="00F84322"/>
    <w:rsid w:val="00F84C60"/>
    <w:rsid w:val="00F9032D"/>
    <w:rsid w:val="00FA27A7"/>
    <w:rsid w:val="00FA413A"/>
    <w:rsid w:val="00FC2C8E"/>
    <w:rsid w:val="00FC65AA"/>
    <w:rsid w:val="00FD7A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04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50"/>
    <w:pPr>
      <w:spacing w:after="200" w:line="360" w:lineRule="auto"/>
    </w:pPr>
    <w:rPr>
      <w:rFonts w:ascii="Times" w:eastAsia="Times New Roman" w:hAnsi="Times" w:cs="Times New Roman"/>
      <w:lang w:val="en-GB" w:eastAsia="en-US"/>
    </w:rPr>
  </w:style>
  <w:style w:type="paragraph" w:styleId="Heading1">
    <w:name w:val="heading 1"/>
    <w:next w:val="Normal"/>
    <w:link w:val="Heading1Char"/>
    <w:qFormat/>
    <w:rsid w:val="00961950"/>
    <w:pPr>
      <w:keepNext/>
      <w:numPr>
        <w:numId w:val="1"/>
      </w:numPr>
      <w:spacing w:after="240" w:line="360" w:lineRule="auto"/>
      <w:outlineLvl w:val="0"/>
    </w:pPr>
    <w:rPr>
      <w:rFonts w:ascii="Lucida Sans" w:eastAsia="Times New Roman" w:hAnsi="Lucida Sans" w:cs="Arial"/>
      <w:b/>
      <w:bCs/>
      <w:kern w:val="32"/>
      <w:sz w:val="36"/>
      <w:szCs w:val="32"/>
      <w:lang w:val="en-GB" w:eastAsia="en-US"/>
    </w:rPr>
  </w:style>
  <w:style w:type="paragraph" w:styleId="Heading2">
    <w:name w:val="heading 2"/>
    <w:basedOn w:val="Heading1"/>
    <w:next w:val="Normal"/>
    <w:link w:val="Heading2Char"/>
    <w:qFormat/>
    <w:rsid w:val="00961950"/>
    <w:pPr>
      <w:numPr>
        <w:ilvl w:val="1"/>
      </w:numPr>
      <w:spacing w:before="360"/>
      <w:outlineLvl w:val="1"/>
    </w:pPr>
    <w:rPr>
      <w:rFonts w:ascii="Times" w:hAnsi="Times"/>
      <w:bCs w:val="0"/>
      <w:sz w:val="28"/>
      <w:szCs w:val="24"/>
      <w:lang w:eastAsia="en-GB"/>
    </w:rPr>
  </w:style>
  <w:style w:type="paragraph" w:styleId="Heading3">
    <w:name w:val="heading 3"/>
    <w:basedOn w:val="Heading1"/>
    <w:next w:val="Normal"/>
    <w:link w:val="Heading3Char"/>
    <w:qFormat/>
    <w:rsid w:val="00961950"/>
    <w:pPr>
      <w:numPr>
        <w:ilvl w:val="2"/>
      </w:numPr>
      <w:spacing w:before="360"/>
      <w:outlineLvl w:val="2"/>
    </w:pPr>
    <w:rPr>
      <w:rFonts w:ascii="Times" w:hAnsi="Times"/>
      <w:bCs w:val="0"/>
      <w:sz w:val="24"/>
      <w:szCs w:val="26"/>
    </w:rPr>
  </w:style>
  <w:style w:type="paragraph" w:styleId="Heading4">
    <w:name w:val="heading 4"/>
    <w:basedOn w:val="Heading1"/>
    <w:next w:val="Normal"/>
    <w:link w:val="Heading4Char"/>
    <w:qFormat/>
    <w:rsid w:val="00961950"/>
    <w:pPr>
      <w:numPr>
        <w:ilvl w:val="3"/>
      </w:numPr>
      <w:spacing w:before="200"/>
      <w:outlineLvl w:val="3"/>
    </w:pPr>
    <w:rPr>
      <w:rFonts w:ascii="Times" w:eastAsiaTheme="majorEastAsia" w:hAnsi="Times" w:cstheme="majorBidi"/>
      <w:bCs w:val="0"/>
      <w:iCs/>
      <w:sz w:val="24"/>
      <w:szCs w:val="24"/>
    </w:rPr>
  </w:style>
  <w:style w:type="paragraph" w:styleId="Heading5">
    <w:name w:val="heading 5"/>
    <w:basedOn w:val="Heading1"/>
    <w:next w:val="Normal"/>
    <w:link w:val="Heading5Char"/>
    <w:qFormat/>
    <w:rsid w:val="00961950"/>
    <w:pPr>
      <w:keepLines/>
      <w:numPr>
        <w:ilvl w:val="4"/>
      </w:numPr>
      <w:spacing w:before="200"/>
      <w:outlineLvl w:val="4"/>
    </w:pPr>
    <w:rPr>
      <w:rFonts w:eastAsiaTheme="majorEastAsia" w:cstheme="majorBidi"/>
      <w:sz w:val="22"/>
      <w:szCs w:val="24"/>
    </w:rPr>
  </w:style>
  <w:style w:type="paragraph" w:styleId="Heading6">
    <w:name w:val="heading 6"/>
    <w:basedOn w:val="Heading1"/>
    <w:next w:val="Normal"/>
    <w:link w:val="Heading6Char"/>
    <w:qFormat/>
    <w:rsid w:val="00961950"/>
    <w:pPr>
      <w:keepLines/>
      <w:numPr>
        <w:ilvl w:val="5"/>
      </w:numPr>
      <w:spacing w:before="200"/>
      <w:outlineLvl w:val="5"/>
    </w:pPr>
    <w:rPr>
      <w:rFonts w:eastAsiaTheme="majorEastAsia" w:cstheme="majorBidi"/>
      <w:b w:val="0"/>
      <w:iCs/>
      <w:sz w:val="22"/>
      <w:szCs w:val="24"/>
    </w:rPr>
  </w:style>
  <w:style w:type="paragraph" w:styleId="Heading7">
    <w:name w:val="heading 7"/>
    <w:basedOn w:val="Heading1"/>
    <w:next w:val="Normal"/>
    <w:link w:val="Heading7Char"/>
    <w:qFormat/>
    <w:rsid w:val="00961950"/>
    <w:pPr>
      <w:keepLines/>
      <w:numPr>
        <w:ilvl w:val="6"/>
      </w:numPr>
      <w:spacing w:before="200"/>
      <w:outlineLvl w:val="6"/>
    </w:pPr>
    <w:rPr>
      <w:rFonts w:eastAsiaTheme="majorEastAsia" w:cstheme="majorBidi"/>
      <w:b w:val="0"/>
      <w:iCs/>
      <w:sz w:val="22"/>
      <w:szCs w:val="24"/>
    </w:rPr>
  </w:style>
  <w:style w:type="paragraph" w:styleId="Heading8">
    <w:name w:val="heading 8"/>
    <w:basedOn w:val="Heading1"/>
    <w:next w:val="Normal"/>
    <w:link w:val="Heading8Char"/>
    <w:qFormat/>
    <w:rsid w:val="00961950"/>
    <w:pPr>
      <w:keepLines/>
      <w:numPr>
        <w:ilvl w:val="7"/>
      </w:numPr>
      <w:spacing w:before="200"/>
      <w:outlineLvl w:val="7"/>
    </w:pPr>
    <w:rPr>
      <w:rFonts w:eastAsiaTheme="majorEastAsia" w:cstheme="majorBidi"/>
      <w:b w:val="0"/>
      <w:sz w:val="22"/>
    </w:rPr>
  </w:style>
  <w:style w:type="paragraph" w:styleId="Heading9">
    <w:name w:val="heading 9"/>
    <w:basedOn w:val="Heading1"/>
    <w:next w:val="Normal"/>
    <w:link w:val="Heading9Char"/>
    <w:qFormat/>
    <w:rsid w:val="00961950"/>
    <w:pPr>
      <w:keepLines/>
      <w:numPr>
        <w:ilvl w:val="8"/>
      </w:numPr>
      <w:spacing w:before="200"/>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31460"/>
    <w:rPr>
      <w:rFonts w:ascii="Lucida Grande" w:hAnsi="Lucida Grande" w:cs="Lucida Grande"/>
      <w:sz w:val="18"/>
      <w:szCs w:val="18"/>
    </w:rPr>
  </w:style>
  <w:style w:type="character" w:customStyle="1" w:styleId="BalloonTextChar">
    <w:name w:val="Balloon Text Char"/>
    <w:basedOn w:val="DefaultParagraphFont"/>
    <w:link w:val="BalloonText"/>
    <w:semiHidden/>
    <w:rsid w:val="00831460"/>
    <w:rPr>
      <w:rFonts w:ascii="Lucida Grande" w:eastAsiaTheme="minorHAnsi" w:hAnsi="Lucida Grande" w:cs="Lucida Grande"/>
      <w:sz w:val="18"/>
      <w:szCs w:val="18"/>
      <w:lang w:eastAsia="en-US"/>
    </w:rPr>
  </w:style>
  <w:style w:type="character" w:customStyle="1" w:styleId="Heading1Char">
    <w:name w:val="Heading 1 Char"/>
    <w:basedOn w:val="DefaultParagraphFont"/>
    <w:link w:val="Heading1"/>
    <w:rsid w:val="00961950"/>
    <w:rPr>
      <w:rFonts w:ascii="Lucida Sans" w:eastAsia="Times New Roman" w:hAnsi="Lucida Sans" w:cs="Arial"/>
      <w:b/>
      <w:bCs/>
      <w:kern w:val="32"/>
      <w:sz w:val="36"/>
      <w:szCs w:val="32"/>
      <w:lang w:val="en-GB" w:eastAsia="en-US"/>
    </w:rPr>
  </w:style>
  <w:style w:type="character" w:customStyle="1" w:styleId="Heading2Char">
    <w:name w:val="Heading 2 Char"/>
    <w:basedOn w:val="DefaultParagraphFont"/>
    <w:link w:val="Heading2"/>
    <w:rsid w:val="00961950"/>
    <w:rPr>
      <w:rFonts w:ascii="Times" w:eastAsia="Times New Roman" w:hAnsi="Times" w:cs="Arial"/>
      <w:b/>
      <w:kern w:val="32"/>
      <w:sz w:val="28"/>
      <w:lang w:val="en-GB" w:eastAsia="en-GB"/>
    </w:rPr>
  </w:style>
  <w:style w:type="character" w:customStyle="1" w:styleId="Heading3Char">
    <w:name w:val="Heading 3 Char"/>
    <w:basedOn w:val="DefaultParagraphFont"/>
    <w:link w:val="Heading3"/>
    <w:rsid w:val="00961950"/>
    <w:rPr>
      <w:rFonts w:ascii="Times" w:eastAsia="Times New Roman" w:hAnsi="Times" w:cs="Arial"/>
      <w:b/>
      <w:kern w:val="32"/>
      <w:szCs w:val="26"/>
      <w:lang w:val="en-GB" w:eastAsia="en-US"/>
    </w:rPr>
  </w:style>
  <w:style w:type="character" w:customStyle="1" w:styleId="Heading4Char">
    <w:name w:val="Heading 4 Char"/>
    <w:basedOn w:val="DefaultParagraphFont"/>
    <w:link w:val="Heading4"/>
    <w:rsid w:val="00961950"/>
    <w:rPr>
      <w:rFonts w:ascii="Times" w:eastAsiaTheme="majorEastAsia" w:hAnsi="Times" w:cstheme="majorBidi"/>
      <w:b/>
      <w:iCs/>
      <w:kern w:val="32"/>
      <w:lang w:val="en-GB" w:eastAsia="en-US"/>
    </w:rPr>
  </w:style>
  <w:style w:type="character" w:customStyle="1" w:styleId="Heading5Char">
    <w:name w:val="Heading 5 Char"/>
    <w:basedOn w:val="DefaultParagraphFont"/>
    <w:link w:val="Heading5"/>
    <w:rsid w:val="00961950"/>
    <w:rPr>
      <w:rFonts w:ascii="Lucida Sans" w:eastAsiaTheme="majorEastAsia" w:hAnsi="Lucida Sans" w:cstheme="majorBidi"/>
      <w:b/>
      <w:bCs/>
      <w:kern w:val="32"/>
      <w:sz w:val="22"/>
      <w:lang w:val="en-GB" w:eastAsia="en-US"/>
    </w:rPr>
  </w:style>
  <w:style w:type="character" w:customStyle="1" w:styleId="Heading6Char">
    <w:name w:val="Heading 6 Char"/>
    <w:basedOn w:val="DefaultParagraphFont"/>
    <w:link w:val="Heading6"/>
    <w:rsid w:val="00961950"/>
    <w:rPr>
      <w:rFonts w:ascii="Lucida Sans" w:eastAsiaTheme="majorEastAsia" w:hAnsi="Lucida Sans" w:cstheme="majorBidi"/>
      <w:bCs/>
      <w:iCs/>
      <w:kern w:val="32"/>
      <w:sz w:val="22"/>
      <w:lang w:val="en-GB" w:eastAsia="en-US"/>
    </w:rPr>
  </w:style>
  <w:style w:type="character" w:customStyle="1" w:styleId="Heading7Char">
    <w:name w:val="Heading 7 Char"/>
    <w:basedOn w:val="DefaultParagraphFont"/>
    <w:link w:val="Heading7"/>
    <w:rsid w:val="00961950"/>
    <w:rPr>
      <w:rFonts w:ascii="Lucida Sans" w:eastAsiaTheme="majorEastAsia" w:hAnsi="Lucida Sans" w:cstheme="majorBidi"/>
      <w:bCs/>
      <w:iCs/>
      <w:kern w:val="32"/>
      <w:sz w:val="22"/>
      <w:lang w:val="en-GB" w:eastAsia="en-US"/>
    </w:rPr>
  </w:style>
  <w:style w:type="character" w:customStyle="1" w:styleId="Heading8Char">
    <w:name w:val="Heading 8 Char"/>
    <w:basedOn w:val="DefaultParagraphFont"/>
    <w:link w:val="Heading8"/>
    <w:rsid w:val="00961950"/>
    <w:rPr>
      <w:rFonts w:ascii="Lucida Sans" w:eastAsiaTheme="majorEastAsia" w:hAnsi="Lucida Sans" w:cstheme="majorBidi"/>
      <w:bCs/>
      <w:kern w:val="32"/>
      <w:sz w:val="22"/>
      <w:szCs w:val="32"/>
      <w:lang w:val="en-GB" w:eastAsia="en-US"/>
    </w:rPr>
  </w:style>
  <w:style w:type="character" w:customStyle="1" w:styleId="Heading9Char">
    <w:name w:val="Heading 9 Char"/>
    <w:basedOn w:val="DefaultParagraphFont"/>
    <w:link w:val="Heading9"/>
    <w:rsid w:val="00961950"/>
    <w:rPr>
      <w:rFonts w:ascii="Lucida Sans" w:eastAsiaTheme="majorEastAsia" w:hAnsi="Lucida Sans" w:cstheme="majorBidi"/>
      <w:bCs/>
      <w:iCs/>
      <w:color w:val="000000" w:themeColor="text1"/>
      <w:kern w:val="32"/>
      <w:sz w:val="22"/>
      <w:szCs w:val="32"/>
      <w:lang w:val="en-GB" w:eastAsia="en-US"/>
    </w:rPr>
  </w:style>
  <w:style w:type="paragraph" w:styleId="BodyText">
    <w:name w:val="Body Text"/>
    <w:basedOn w:val="Normal"/>
    <w:link w:val="BodyTextChar"/>
    <w:semiHidden/>
    <w:rsid w:val="00961950"/>
    <w:rPr>
      <w:szCs w:val="22"/>
      <w:lang w:eastAsia="en-GB"/>
    </w:rPr>
  </w:style>
  <w:style w:type="character" w:customStyle="1" w:styleId="BodyTextChar">
    <w:name w:val="Body Text Char"/>
    <w:basedOn w:val="DefaultParagraphFont"/>
    <w:link w:val="BodyText"/>
    <w:semiHidden/>
    <w:rsid w:val="00961950"/>
    <w:rPr>
      <w:rFonts w:ascii="Times" w:eastAsia="Times New Roman" w:hAnsi="Times" w:cs="Times New Roman"/>
      <w:szCs w:val="22"/>
      <w:lang w:val="en-GB" w:eastAsia="en-GB"/>
    </w:rPr>
  </w:style>
  <w:style w:type="paragraph" w:styleId="BodyTextIndent">
    <w:name w:val="Body Text Indent"/>
    <w:basedOn w:val="Normal"/>
    <w:link w:val="BodyTextIndentChar"/>
    <w:semiHidden/>
    <w:rsid w:val="00961950"/>
    <w:pPr>
      <w:ind w:left="283"/>
    </w:pPr>
  </w:style>
  <w:style w:type="character" w:customStyle="1" w:styleId="BodyTextIndentChar">
    <w:name w:val="Body Text Indent Char"/>
    <w:basedOn w:val="DefaultParagraphFont"/>
    <w:link w:val="BodyTextIndent"/>
    <w:semiHidden/>
    <w:rsid w:val="00961950"/>
    <w:rPr>
      <w:rFonts w:ascii="Times" w:eastAsia="Times New Roman" w:hAnsi="Times" w:cs="Times New Roman"/>
      <w:lang w:val="en-GB" w:eastAsia="en-US"/>
    </w:rPr>
  </w:style>
  <w:style w:type="paragraph" w:styleId="Footer">
    <w:name w:val="footer"/>
    <w:link w:val="FooterChar"/>
    <w:rsid w:val="00961950"/>
    <w:pPr>
      <w:tabs>
        <w:tab w:val="center" w:pos="4153"/>
        <w:tab w:val="right" w:pos="8306"/>
      </w:tabs>
      <w:spacing w:after="120"/>
    </w:pPr>
    <w:rPr>
      <w:rFonts w:ascii="Times" w:eastAsia="Times New Roman" w:hAnsi="Times" w:cs="Times New Roman"/>
      <w:sz w:val="22"/>
      <w:lang w:val="en-GB" w:eastAsia="en-US"/>
    </w:rPr>
  </w:style>
  <w:style w:type="character" w:customStyle="1" w:styleId="FooterChar">
    <w:name w:val="Footer Char"/>
    <w:basedOn w:val="DefaultParagraphFont"/>
    <w:link w:val="Footer"/>
    <w:rsid w:val="00961950"/>
    <w:rPr>
      <w:rFonts w:ascii="Times" w:eastAsia="Times New Roman" w:hAnsi="Times" w:cs="Times New Roman"/>
      <w:sz w:val="22"/>
      <w:lang w:val="en-GB" w:eastAsia="en-US"/>
    </w:rPr>
  </w:style>
  <w:style w:type="character" w:styleId="PageNumber">
    <w:name w:val="page number"/>
    <w:rsid w:val="00961950"/>
    <w:rPr>
      <w:rFonts w:ascii="Times" w:hAnsi="Times"/>
      <w:sz w:val="24"/>
      <w:lang w:val="en-GB"/>
    </w:rPr>
  </w:style>
  <w:style w:type="paragraph" w:styleId="DocumentMap">
    <w:name w:val="Document Map"/>
    <w:basedOn w:val="Normal"/>
    <w:link w:val="DocumentMapChar"/>
    <w:semiHidden/>
    <w:rsid w:val="00961950"/>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961950"/>
    <w:rPr>
      <w:rFonts w:ascii="Tahoma" w:eastAsia="Times New Roman" w:hAnsi="Tahoma" w:cs="Tahoma"/>
      <w:szCs w:val="20"/>
      <w:shd w:val="clear" w:color="auto" w:fill="000080"/>
      <w:lang w:val="en-GB" w:eastAsia="en-US"/>
    </w:rPr>
  </w:style>
  <w:style w:type="paragraph" w:styleId="Header">
    <w:name w:val="header"/>
    <w:link w:val="HeaderChar"/>
    <w:rsid w:val="00961950"/>
    <w:pPr>
      <w:tabs>
        <w:tab w:val="center" w:pos="4153"/>
        <w:tab w:val="right" w:pos="8306"/>
      </w:tabs>
      <w:spacing w:after="120"/>
    </w:pPr>
    <w:rPr>
      <w:rFonts w:ascii="Times" w:eastAsia="Times New Roman" w:hAnsi="Times" w:cs="Times New Roman"/>
      <w:sz w:val="22"/>
      <w:lang w:val="en-GB" w:eastAsia="en-US"/>
    </w:rPr>
  </w:style>
  <w:style w:type="character" w:customStyle="1" w:styleId="HeaderChar">
    <w:name w:val="Header Char"/>
    <w:basedOn w:val="DefaultParagraphFont"/>
    <w:link w:val="Header"/>
    <w:rsid w:val="00961950"/>
    <w:rPr>
      <w:rFonts w:ascii="Times" w:eastAsia="Times New Roman" w:hAnsi="Times" w:cs="Times New Roman"/>
      <w:sz w:val="22"/>
      <w:lang w:val="en-GB" w:eastAsia="en-US"/>
    </w:rPr>
  </w:style>
  <w:style w:type="paragraph" w:styleId="Caption">
    <w:name w:val="caption"/>
    <w:next w:val="Normal"/>
    <w:rsid w:val="00961950"/>
    <w:pPr>
      <w:tabs>
        <w:tab w:val="left" w:pos="1418"/>
      </w:tabs>
      <w:spacing w:before="120" w:after="120"/>
    </w:pPr>
    <w:rPr>
      <w:rFonts w:ascii="Times" w:eastAsia="Times New Roman" w:hAnsi="Times" w:cs="Times New Roman"/>
      <w:sz w:val="22"/>
      <w:szCs w:val="26"/>
      <w:lang w:val="en-GB" w:eastAsia="en-US"/>
    </w:rPr>
  </w:style>
  <w:style w:type="character" w:styleId="Hyperlink">
    <w:name w:val="Hyperlink"/>
    <w:basedOn w:val="DefaultParagraphFont"/>
    <w:uiPriority w:val="99"/>
    <w:rsid w:val="00961950"/>
    <w:rPr>
      <w:rFonts w:ascii="Lucida Sans" w:hAnsi="Lucida Sans"/>
      <w:color w:val="0000FF"/>
      <w:sz w:val="22"/>
      <w:u w:val="single"/>
      <w:lang w:val="en-GB"/>
    </w:rPr>
  </w:style>
  <w:style w:type="table" w:styleId="TableGrid">
    <w:name w:val="Table Grid"/>
    <w:basedOn w:val="TableNormal"/>
    <w:rsid w:val="00961950"/>
    <w:pPr>
      <w:adjustRightInd w:val="0"/>
      <w:spacing w:before="40" w:after="40"/>
    </w:pPr>
    <w:rPr>
      <w:rFonts w:ascii="Lucida Sans" w:eastAsia="Times New Roman" w:hAnsi="Lucida Sans" w:cs="Times New Roman"/>
      <w:lang w:val="en-GB"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TableCell">
    <w:name w:val="Table Cell"/>
    <w:basedOn w:val="Normal"/>
    <w:rsid w:val="00961950"/>
    <w:pPr>
      <w:spacing w:before="40" w:after="40"/>
      <w:ind w:left="6"/>
    </w:pPr>
  </w:style>
  <w:style w:type="table" w:customStyle="1" w:styleId="FigureNoOutline">
    <w:name w:val="Figure No Outline"/>
    <w:basedOn w:val="TableNormal"/>
    <w:rsid w:val="00961950"/>
    <w:rPr>
      <w:rFonts w:ascii="Lucida Sans" w:eastAsia="Times New Roman" w:hAnsi="Lucida Sans" w:cs="Times New Roman"/>
      <w:lang w:val="en-GB" w:eastAsia="zh-CN"/>
    </w:rPr>
    <w:tblPr>
      <w:tblInd w:w="0" w:type="dxa"/>
      <w:tblCellMar>
        <w:top w:w="0" w:type="dxa"/>
        <w:left w:w="0" w:type="dxa"/>
        <w:bottom w:w="0" w:type="dxa"/>
        <w:right w:w="0" w:type="dxa"/>
      </w:tblCellMar>
    </w:tblPr>
  </w:style>
  <w:style w:type="table" w:customStyle="1" w:styleId="FigureOutline">
    <w:name w:val="Figure Outline"/>
    <w:basedOn w:val="TableNormal"/>
    <w:rsid w:val="00961950"/>
    <w:rPr>
      <w:rFonts w:ascii="Lucida Sans" w:eastAsia="Times New Roman" w:hAnsi="Lucida Sans" w:cs="Times New Roman"/>
      <w:lang w:val="en-GB" w:eastAsia="zh-CN"/>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paragraph" w:styleId="TableofFigures">
    <w:name w:val="table of figures"/>
    <w:next w:val="Normal"/>
    <w:autoRedefine/>
    <w:uiPriority w:val="99"/>
    <w:rsid w:val="00961950"/>
    <w:pPr>
      <w:tabs>
        <w:tab w:val="left" w:pos="1560"/>
        <w:tab w:val="right" w:leader="dot" w:pos="8505"/>
      </w:tabs>
      <w:spacing w:line="360" w:lineRule="auto"/>
      <w:ind w:left="1560" w:hanging="1560"/>
    </w:pPr>
    <w:rPr>
      <w:rFonts w:ascii="Times" w:eastAsia="Times New Roman" w:hAnsi="Times" w:cs="Times New Roman"/>
      <w:lang w:val="en-GB" w:eastAsia="en-US"/>
    </w:rPr>
  </w:style>
  <w:style w:type="paragraph" w:customStyle="1" w:styleId="Contents">
    <w:name w:val="Contents"/>
    <w:next w:val="Normal"/>
    <w:qFormat/>
    <w:rsid w:val="00961950"/>
    <w:pPr>
      <w:spacing w:after="240"/>
      <w:outlineLvl w:val="0"/>
    </w:pPr>
    <w:rPr>
      <w:rFonts w:ascii="Lucida Sans" w:eastAsia="Times New Roman" w:hAnsi="Lucida Sans" w:cs="Arial"/>
      <w:b/>
      <w:bCs/>
      <w:kern w:val="32"/>
      <w:sz w:val="36"/>
      <w:szCs w:val="32"/>
      <w:lang w:val="en-GB" w:eastAsia="en-US"/>
    </w:rPr>
  </w:style>
  <w:style w:type="paragraph" w:customStyle="1" w:styleId="TitlePage">
    <w:name w:val="TitlePage"/>
    <w:rsid w:val="00961950"/>
    <w:pPr>
      <w:spacing w:line="360" w:lineRule="auto"/>
      <w:jc w:val="center"/>
    </w:pPr>
    <w:rPr>
      <w:rFonts w:ascii="Lucida Sans" w:eastAsia="Times New Roman" w:hAnsi="Lucida Sans" w:cs="Times New Roman"/>
      <w:lang w:val="en-GB" w:eastAsia="en-US"/>
    </w:rPr>
  </w:style>
  <w:style w:type="paragraph" w:customStyle="1" w:styleId="Quotation">
    <w:name w:val="Quotation"/>
    <w:qFormat/>
    <w:rsid w:val="00961950"/>
    <w:pPr>
      <w:spacing w:line="360" w:lineRule="auto"/>
      <w:ind w:left="425" w:right="425"/>
    </w:pPr>
    <w:rPr>
      <w:rFonts w:ascii="Lucida Sans" w:eastAsia="Times New Roman" w:hAnsi="Lucida Sans" w:cs="Times New Roman"/>
      <w:iCs/>
      <w:sz w:val="22"/>
      <w:lang w:val="en-GB" w:eastAsia="en-US"/>
    </w:rPr>
  </w:style>
  <w:style w:type="paragraph" w:styleId="TOC1">
    <w:name w:val="toc 1"/>
    <w:basedOn w:val="Normal"/>
    <w:next w:val="Normal"/>
    <w:autoRedefine/>
    <w:uiPriority w:val="39"/>
    <w:rsid w:val="00961950"/>
    <w:pPr>
      <w:keepNext/>
      <w:tabs>
        <w:tab w:val="left" w:pos="993"/>
        <w:tab w:val="right" w:leader="dot" w:pos="8495"/>
      </w:tabs>
      <w:spacing w:after="100"/>
      <w:ind w:left="992" w:hanging="992"/>
    </w:pPr>
    <w:rPr>
      <w:b/>
    </w:rPr>
  </w:style>
  <w:style w:type="paragraph" w:styleId="TOC2">
    <w:name w:val="toc 2"/>
    <w:basedOn w:val="TOC1"/>
    <w:next w:val="Normal"/>
    <w:autoRedefine/>
    <w:uiPriority w:val="39"/>
    <w:rsid w:val="00961950"/>
    <w:pPr>
      <w:keepNext w:val="0"/>
      <w:tabs>
        <w:tab w:val="clear" w:pos="993"/>
        <w:tab w:val="left" w:pos="851"/>
      </w:tabs>
      <w:spacing w:line="240" w:lineRule="auto"/>
      <w:ind w:left="851" w:hanging="567"/>
    </w:pPr>
    <w:rPr>
      <w:b w:val="0"/>
    </w:rPr>
  </w:style>
  <w:style w:type="paragraph" w:styleId="TOC3">
    <w:name w:val="toc 3"/>
    <w:basedOn w:val="TOC1"/>
    <w:next w:val="Normal"/>
    <w:autoRedefine/>
    <w:uiPriority w:val="39"/>
    <w:rsid w:val="00961950"/>
    <w:pPr>
      <w:keepNext w:val="0"/>
      <w:tabs>
        <w:tab w:val="clear" w:pos="993"/>
        <w:tab w:val="left" w:pos="1701"/>
      </w:tabs>
      <w:ind w:left="1701"/>
    </w:pPr>
    <w:rPr>
      <w:b w:val="0"/>
    </w:rPr>
  </w:style>
  <w:style w:type="paragraph" w:styleId="TOC4">
    <w:name w:val="toc 4"/>
    <w:basedOn w:val="Normal"/>
    <w:next w:val="Normal"/>
    <w:autoRedefine/>
    <w:rsid w:val="00961950"/>
    <w:pPr>
      <w:tabs>
        <w:tab w:val="left" w:pos="1843"/>
      </w:tabs>
      <w:spacing w:after="100"/>
      <w:ind w:left="1843" w:hanging="850"/>
    </w:pPr>
  </w:style>
  <w:style w:type="paragraph" w:styleId="TOCHeading">
    <w:name w:val="TOC Heading"/>
    <w:basedOn w:val="Heading1"/>
    <w:next w:val="Normal"/>
    <w:uiPriority w:val="39"/>
    <w:semiHidden/>
    <w:unhideWhenUsed/>
    <w:qFormat/>
    <w:rsid w:val="0096195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ContentsSubheading">
    <w:name w:val="Contents Subheading"/>
    <w:basedOn w:val="Contents"/>
    <w:next w:val="Normal"/>
    <w:qFormat/>
    <w:rsid w:val="00961950"/>
    <w:pPr>
      <w:outlineLvl w:val="1"/>
    </w:pPr>
    <w:rPr>
      <w:sz w:val="28"/>
    </w:rPr>
  </w:style>
  <w:style w:type="paragraph" w:customStyle="1" w:styleId="Declaration">
    <w:name w:val="Declaration"/>
    <w:qFormat/>
    <w:rsid w:val="00961950"/>
    <w:pPr>
      <w:spacing w:line="360" w:lineRule="auto"/>
      <w:ind w:left="6"/>
    </w:pPr>
    <w:rPr>
      <w:rFonts w:ascii="Times" w:eastAsia="Times New Roman" w:hAnsi="Times" w:cs="Times New Roman"/>
      <w:lang w:val="en-GB" w:eastAsia="en-US"/>
    </w:rPr>
  </w:style>
  <w:style w:type="paragraph" w:styleId="TOC5">
    <w:name w:val="toc 5"/>
    <w:basedOn w:val="TOC1"/>
    <w:next w:val="Normal"/>
    <w:autoRedefine/>
    <w:rsid w:val="00961950"/>
    <w:pPr>
      <w:tabs>
        <w:tab w:val="clear" w:pos="993"/>
        <w:tab w:val="left" w:pos="2127"/>
      </w:tabs>
      <w:ind w:left="2127"/>
    </w:pPr>
    <w:rPr>
      <w:b w:val="0"/>
      <w:sz w:val="22"/>
    </w:rPr>
  </w:style>
  <w:style w:type="paragraph" w:customStyle="1" w:styleId="AppendixMain">
    <w:name w:val="Appendix Main"/>
    <w:basedOn w:val="Contents"/>
    <w:next w:val="Normal"/>
    <w:qFormat/>
    <w:rsid w:val="00961950"/>
    <w:pPr>
      <w:numPr>
        <w:numId w:val="3"/>
      </w:numPr>
    </w:pPr>
  </w:style>
  <w:style w:type="paragraph" w:customStyle="1" w:styleId="AppendixSubheading">
    <w:name w:val="Appendix Subheading"/>
    <w:basedOn w:val="ContentsSubheading"/>
    <w:next w:val="Normal"/>
    <w:qFormat/>
    <w:rsid w:val="00961950"/>
    <w:pPr>
      <w:numPr>
        <w:ilvl w:val="1"/>
        <w:numId w:val="3"/>
      </w:numPr>
    </w:pPr>
    <w:rPr>
      <w:rFonts w:ascii="Times" w:hAnsi="Times"/>
    </w:rPr>
  </w:style>
  <w:style w:type="paragraph" w:customStyle="1" w:styleId="AppendixThird">
    <w:name w:val="Appendix Third"/>
    <w:basedOn w:val="Normal"/>
    <w:next w:val="Normal"/>
    <w:qFormat/>
    <w:rsid w:val="00961950"/>
    <w:pPr>
      <w:numPr>
        <w:ilvl w:val="2"/>
        <w:numId w:val="3"/>
      </w:numPr>
      <w:outlineLvl w:val="2"/>
    </w:pPr>
    <w:rPr>
      <w:b/>
    </w:rPr>
  </w:style>
  <w:style w:type="character" w:styleId="Emphasis">
    <w:name w:val="Emphasis"/>
    <w:basedOn w:val="DefaultParagraphFont"/>
    <w:uiPriority w:val="20"/>
    <w:qFormat/>
    <w:rsid w:val="00961950"/>
    <w:rPr>
      <w:i/>
      <w:iCs/>
    </w:rPr>
  </w:style>
  <w:style w:type="character" w:customStyle="1" w:styleId="formulatext">
    <w:name w:val="formulatext"/>
    <w:basedOn w:val="DefaultParagraphFont"/>
    <w:rsid w:val="00961950"/>
  </w:style>
  <w:style w:type="character" w:customStyle="1" w:styleId="mb">
    <w:name w:val="mb"/>
    <w:basedOn w:val="DefaultParagraphFont"/>
    <w:rsid w:val="00961950"/>
  </w:style>
  <w:style w:type="paragraph" w:customStyle="1" w:styleId="Body">
    <w:name w:val="Body"/>
    <w:rsid w:val="00961950"/>
    <w:pPr>
      <w:pBdr>
        <w:top w:val="nil"/>
        <w:left w:val="nil"/>
        <w:bottom w:val="nil"/>
        <w:right w:val="nil"/>
        <w:between w:val="nil"/>
        <w:bar w:val="nil"/>
      </w:pBdr>
    </w:pPr>
    <w:rPr>
      <w:rFonts w:eastAsia="Arial Unicode MS" w:hAnsi="Arial Unicode MS" w:cs="Arial Unicode MS"/>
      <w:color w:val="000000"/>
      <w:u w:color="000000"/>
      <w:bdr w:val="nil"/>
      <w:lang w:eastAsia="en-US"/>
    </w:rPr>
  </w:style>
  <w:style w:type="paragraph" w:customStyle="1" w:styleId="EndNoteBibliography">
    <w:name w:val="EndNote Bibliography"/>
    <w:basedOn w:val="EndnoteText"/>
    <w:rsid w:val="00961950"/>
    <w:pPr>
      <w:pBdr>
        <w:top w:val="nil"/>
        <w:left w:val="nil"/>
        <w:bottom w:val="nil"/>
        <w:right w:val="nil"/>
        <w:between w:val="nil"/>
        <w:bar w:val="nil"/>
      </w:pBdr>
    </w:pPr>
    <w:rPr>
      <w:rFonts w:eastAsia="Arial Unicode MS"/>
      <w:bdr w:val="nil"/>
      <w:lang w:val="en-US"/>
    </w:rPr>
  </w:style>
  <w:style w:type="character" w:customStyle="1" w:styleId="st">
    <w:name w:val="st"/>
    <w:basedOn w:val="DefaultParagraphFont"/>
    <w:rsid w:val="00961950"/>
  </w:style>
  <w:style w:type="character" w:customStyle="1" w:styleId="italic">
    <w:name w:val="italic"/>
    <w:basedOn w:val="DefaultParagraphFont"/>
    <w:rsid w:val="00961950"/>
  </w:style>
  <w:style w:type="character" w:styleId="Strong">
    <w:name w:val="Strong"/>
    <w:basedOn w:val="DefaultParagraphFont"/>
    <w:uiPriority w:val="22"/>
    <w:qFormat/>
    <w:rsid w:val="00961950"/>
    <w:rPr>
      <w:b/>
      <w:bCs/>
    </w:rPr>
  </w:style>
  <w:style w:type="paragraph" w:styleId="CommentText">
    <w:name w:val="annotation text"/>
    <w:basedOn w:val="Normal"/>
    <w:link w:val="CommentTextChar"/>
    <w:uiPriority w:val="99"/>
    <w:unhideWhenUsed/>
    <w:rsid w:val="00961950"/>
    <w:pPr>
      <w:pBdr>
        <w:top w:val="nil"/>
        <w:left w:val="nil"/>
        <w:bottom w:val="nil"/>
        <w:right w:val="nil"/>
        <w:between w:val="nil"/>
        <w:bar w:val="nil"/>
      </w:pBdr>
      <w:spacing w:after="0" w:line="240" w:lineRule="auto"/>
    </w:pPr>
    <w:rPr>
      <w:rFonts w:ascii="Times New Roman" w:eastAsia="Arial Unicode MS" w:hAnsi="Times New Roman"/>
      <w:bdr w:val="nil"/>
      <w:lang w:val="en-US"/>
    </w:rPr>
  </w:style>
  <w:style w:type="character" w:customStyle="1" w:styleId="CommentTextChar">
    <w:name w:val="Comment Text Char"/>
    <w:basedOn w:val="DefaultParagraphFont"/>
    <w:link w:val="CommentText"/>
    <w:uiPriority w:val="99"/>
    <w:rsid w:val="00961950"/>
    <w:rPr>
      <w:rFonts w:eastAsia="Arial Unicode MS" w:cs="Times New Roman"/>
      <w:bdr w:val="nil"/>
      <w:lang w:eastAsia="en-US"/>
    </w:rPr>
  </w:style>
  <w:style w:type="paragraph" w:customStyle="1" w:styleId="Default">
    <w:name w:val="Default"/>
    <w:rsid w:val="00961950"/>
    <w:pPr>
      <w:widowControl w:val="0"/>
      <w:autoSpaceDE w:val="0"/>
      <w:autoSpaceDN w:val="0"/>
      <w:adjustRightInd w:val="0"/>
    </w:pPr>
    <w:rPr>
      <w:rFonts w:ascii="Gulliver" w:hAnsi="Gulliver" w:cs="Gulliver"/>
      <w:color w:val="000000"/>
    </w:rPr>
  </w:style>
  <w:style w:type="paragraph" w:styleId="ListParagraph">
    <w:name w:val="List Paragraph"/>
    <w:basedOn w:val="Normal"/>
    <w:uiPriority w:val="99"/>
    <w:qFormat/>
    <w:rsid w:val="00961950"/>
    <w:pPr>
      <w:spacing w:after="0" w:line="240" w:lineRule="auto"/>
      <w:ind w:left="720"/>
      <w:contextualSpacing/>
    </w:pPr>
    <w:rPr>
      <w:rFonts w:ascii="Cambria" w:eastAsia="MS ??" w:hAnsi="Cambria"/>
    </w:rPr>
  </w:style>
  <w:style w:type="character" w:customStyle="1" w:styleId="highwire-cite-metadata-doi">
    <w:name w:val="highwire-cite-metadata-doi"/>
    <w:basedOn w:val="DefaultParagraphFont"/>
    <w:rsid w:val="00961950"/>
  </w:style>
  <w:style w:type="character" w:customStyle="1" w:styleId="label">
    <w:name w:val="label"/>
    <w:basedOn w:val="DefaultParagraphFont"/>
    <w:rsid w:val="00961950"/>
  </w:style>
  <w:style w:type="character" w:customStyle="1" w:styleId="biblio-authors">
    <w:name w:val="biblio-authors"/>
    <w:basedOn w:val="DefaultParagraphFont"/>
    <w:rsid w:val="00961950"/>
  </w:style>
  <w:style w:type="character" w:customStyle="1" w:styleId="slug-metadata-note">
    <w:name w:val="slug-metadata-note"/>
    <w:basedOn w:val="DefaultParagraphFont"/>
    <w:rsid w:val="00961950"/>
  </w:style>
  <w:style w:type="character" w:customStyle="1" w:styleId="slug-doi">
    <w:name w:val="slug-doi"/>
    <w:basedOn w:val="DefaultParagraphFont"/>
    <w:rsid w:val="00961950"/>
  </w:style>
  <w:style w:type="paragraph" w:styleId="EndnoteText">
    <w:name w:val="endnote text"/>
    <w:basedOn w:val="Normal"/>
    <w:link w:val="EndnoteTextChar"/>
    <w:rsid w:val="00961950"/>
    <w:pPr>
      <w:spacing w:after="0" w:line="240" w:lineRule="auto"/>
    </w:pPr>
  </w:style>
  <w:style w:type="character" w:customStyle="1" w:styleId="EndnoteTextChar">
    <w:name w:val="Endnote Text Char"/>
    <w:basedOn w:val="DefaultParagraphFont"/>
    <w:link w:val="EndnoteText"/>
    <w:rsid w:val="00961950"/>
    <w:rPr>
      <w:rFonts w:ascii="Times" w:eastAsia="Times New Roman" w:hAnsi="Times" w:cs="Times New Roman"/>
      <w:lang w:val="en-GB" w:eastAsia="en-US"/>
    </w:rPr>
  </w:style>
  <w:style w:type="character" w:customStyle="1" w:styleId="tgc">
    <w:name w:val="_tgc"/>
    <w:basedOn w:val="DefaultParagraphFont"/>
    <w:rsid w:val="00961950"/>
  </w:style>
  <w:style w:type="character" w:customStyle="1" w:styleId="article-headermeta-info-label">
    <w:name w:val="article-header__meta-info-label"/>
    <w:basedOn w:val="DefaultParagraphFont"/>
    <w:rsid w:val="00961950"/>
  </w:style>
  <w:style w:type="character" w:customStyle="1" w:styleId="article-headermeta-info-data">
    <w:name w:val="article-header__meta-info-data"/>
    <w:basedOn w:val="DefaultParagraphFont"/>
    <w:rsid w:val="00961950"/>
  </w:style>
  <w:style w:type="character" w:styleId="CommentReference">
    <w:name w:val="annotation reference"/>
    <w:basedOn w:val="DefaultParagraphFont"/>
    <w:uiPriority w:val="99"/>
    <w:semiHidden/>
    <w:unhideWhenUsed/>
    <w:rsid w:val="00EE6940"/>
    <w:rPr>
      <w:sz w:val="18"/>
      <w:szCs w:val="18"/>
    </w:rPr>
  </w:style>
  <w:style w:type="paragraph" w:styleId="CommentSubject">
    <w:name w:val="annotation subject"/>
    <w:basedOn w:val="CommentText"/>
    <w:next w:val="CommentText"/>
    <w:link w:val="CommentSubjectChar"/>
    <w:uiPriority w:val="99"/>
    <w:semiHidden/>
    <w:unhideWhenUsed/>
    <w:rsid w:val="00EE6940"/>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imes" w:eastAsia="Times New Roman" w:hAnsi="Times"/>
      <w:b/>
      <w:bCs/>
      <w:sz w:val="20"/>
      <w:szCs w:val="20"/>
      <w:bdr w:val="none" w:sz="0" w:space="0" w:color="auto"/>
      <w:lang w:val="en-GB"/>
    </w:rPr>
  </w:style>
  <w:style w:type="character" w:customStyle="1" w:styleId="CommentSubjectChar">
    <w:name w:val="Comment Subject Char"/>
    <w:basedOn w:val="CommentTextChar"/>
    <w:link w:val="CommentSubject"/>
    <w:uiPriority w:val="99"/>
    <w:semiHidden/>
    <w:rsid w:val="00EE6940"/>
    <w:rPr>
      <w:rFonts w:ascii="Times" w:eastAsia="Times New Roman" w:hAnsi="Times" w:cs="Times New Roman"/>
      <w:b/>
      <w:bCs/>
      <w:sz w:val="20"/>
      <w:szCs w:val="20"/>
      <w:bdr w:val="nil"/>
      <w:lang w:val="en-GB" w:eastAsia="en-US"/>
    </w:rPr>
  </w:style>
  <w:style w:type="character" w:styleId="PlaceholderText">
    <w:name w:val="Placeholder Text"/>
    <w:basedOn w:val="DefaultParagraphFont"/>
    <w:uiPriority w:val="99"/>
    <w:semiHidden/>
    <w:rsid w:val="00BF4943"/>
    <w:rPr>
      <w:color w:val="808080"/>
    </w:rPr>
  </w:style>
  <w:style w:type="paragraph" w:styleId="NormalWeb">
    <w:name w:val="Normal (Web)"/>
    <w:basedOn w:val="Normal"/>
    <w:uiPriority w:val="99"/>
    <w:unhideWhenUsed/>
    <w:rsid w:val="00C26426"/>
    <w:pPr>
      <w:spacing w:before="100" w:beforeAutospacing="1" w:after="100" w:afterAutospacing="1" w:line="240" w:lineRule="auto"/>
    </w:pPr>
    <w:rPr>
      <w:rFonts w:eastAsiaTheme="minorEastAsia"/>
      <w:sz w:val="20"/>
      <w:szCs w:val="20"/>
    </w:rPr>
  </w:style>
  <w:style w:type="paragraph" w:customStyle="1" w:styleId="AuthorAffiliation">
    <w:name w:val="Author Affiliation"/>
    <w:basedOn w:val="Normal"/>
    <w:rsid w:val="005B5026"/>
    <w:pPr>
      <w:spacing w:after="0" w:line="240" w:lineRule="auto"/>
    </w:pPr>
    <w:rPr>
      <w:rFonts w:ascii="Times New Roman" w:hAnsi="Times New Roman"/>
      <w:i/>
      <w:lang w:val="en-US"/>
    </w:rPr>
  </w:style>
  <w:style w:type="character" w:customStyle="1" w:styleId="current-selection">
    <w:name w:val="current-selection"/>
    <w:basedOn w:val="DefaultParagraphFont"/>
    <w:rsid w:val="0065356E"/>
  </w:style>
  <w:style w:type="character" w:customStyle="1" w:styleId="cit-auth">
    <w:name w:val="cit-auth"/>
    <w:basedOn w:val="DefaultParagraphFont"/>
    <w:rsid w:val="00631B5A"/>
  </w:style>
  <w:style w:type="character" w:customStyle="1" w:styleId="cit-name-surname">
    <w:name w:val="cit-name-surname"/>
    <w:basedOn w:val="DefaultParagraphFont"/>
    <w:rsid w:val="00631B5A"/>
  </w:style>
  <w:style w:type="character" w:customStyle="1" w:styleId="cit-name-given-names">
    <w:name w:val="cit-name-given-names"/>
    <w:basedOn w:val="DefaultParagraphFont"/>
    <w:rsid w:val="00631B5A"/>
  </w:style>
  <w:style w:type="character" w:styleId="HTMLCite">
    <w:name w:val="HTML Cite"/>
    <w:basedOn w:val="DefaultParagraphFont"/>
    <w:uiPriority w:val="99"/>
    <w:semiHidden/>
    <w:unhideWhenUsed/>
    <w:rsid w:val="00631B5A"/>
    <w:rPr>
      <w:i/>
      <w:iCs/>
    </w:rPr>
  </w:style>
  <w:style w:type="character" w:customStyle="1" w:styleId="cit-pub-date">
    <w:name w:val="cit-pub-date"/>
    <w:basedOn w:val="DefaultParagraphFont"/>
    <w:rsid w:val="00631B5A"/>
  </w:style>
  <w:style w:type="character" w:customStyle="1" w:styleId="cit-source">
    <w:name w:val="cit-source"/>
    <w:basedOn w:val="DefaultParagraphFont"/>
    <w:rsid w:val="00631B5A"/>
  </w:style>
  <w:style w:type="character" w:customStyle="1" w:styleId="cit-publ-loc">
    <w:name w:val="cit-publ-loc"/>
    <w:basedOn w:val="DefaultParagraphFont"/>
    <w:rsid w:val="00631B5A"/>
  </w:style>
  <w:style w:type="character" w:customStyle="1" w:styleId="cit-publ-name">
    <w:name w:val="cit-publ-name"/>
    <w:basedOn w:val="DefaultParagraphFont"/>
    <w:rsid w:val="00631B5A"/>
  </w:style>
  <w:style w:type="character" w:customStyle="1" w:styleId="cit-fpage">
    <w:name w:val="cit-fpage"/>
    <w:basedOn w:val="DefaultParagraphFont"/>
    <w:rsid w:val="00631B5A"/>
  </w:style>
  <w:style w:type="character" w:customStyle="1" w:styleId="cit-comment">
    <w:name w:val="cit-comment"/>
    <w:basedOn w:val="DefaultParagraphFont"/>
    <w:rsid w:val="00631B5A"/>
  </w:style>
  <w:style w:type="character" w:styleId="LineNumber">
    <w:name w:val="line number"/>
    <w:basedOn w:val="DefaultParagraphFont"/>
    <w:uiPriority w:val="99"/>
    <w:semiHidden/>
    <w:unhideWhenUsed/>
    <w:rsid w:val="00157F2E"/>
  </w:style>
  <w:style w:type="character" w:customStyle="1" w:styleId="textrecord">
    <w:name w:val="textrecord"/>
    <w:basedOn w:val="DefaultParagraphFont"/>
    <w:rsid w:val="00EC78C6"/>
  </w:style>
  <w:style w:type="paragraph" w:styleId="Revision">
    <w:name w:val="Revision"/>
    <w:hidden/>
    <w:uiPriority w:val="99"/>
    <w:semiHidden/>
    <w:rsid w:val="001F49DA"/>
    <w:rPr>
      <w:rFonts w:ascii="Times" w:eastAsia="Times New Roman" w:hAnsi="Times" w:cs="Times New Roman"/>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50"/>
    <w:pPr>
      <w:spacing w:after="200" w:line="360" w:lineRule="auto"/>
    </w:pPr>
    <w:rPr>
      <w:rFonts w:ascii="Times" w:eastAsia="Times New Roman" w:hAnsi="Times" w:cs="Times New Roman"/>
      <w:lang w:val="en-GB" w:eastAsia="en-US"/>
    </w:rPr>
  </w:style>
  <w:style w:type="paragraph" w:styleId="Heading1">
    <w:name w:val="heading 1"/>
    <w:next w:val="Normal"/>
    <w:link w:val="Heading1Char"/>
    <w:qFormat/>
    <w:rsid w:val="00961950"/>
    <w:pPr>
      <w:keepNext/>
      <w:numPr>
        <w:numId w:val="1"/>
      </w:numPr>
      <w:spacing w:after="240" w:line="360" w:lineRule="auto"/>
      <w:outlineLvl w:val="0"/>
    </w:pPr>
    <w:rPr>
      <w:rFonts w:ascii="Lucida Sans" w:eastAsia="Times New Roman" w:hAnsi="Lucida Sans" w:cs="Arial"/>
      <w:b/>
      <w:bCs/>
      <w:kern w:val="32"/>
      <w:sz w:val="36"/>
      <w:szCs w:val="32"/>
      <w:lang w:val="en-GB" w:eastAsia="en-US"/>
    </w:rPr>
  </w:style>
  <w:style w:type="paragraph" w:styleId="Heading2">
    <w:name w:val="heading 2"/>
    <w:basedOn w:val="Heading1"/>
    <w:next w:val="Normal"/>
    <w:link w:val="Heading2Char"/>
    <w:qFormat/>
    <w:rsid w:val="00961950"/>
    <w:pPr>
      <w:numPr>
        <w:ilvl w:val="1"/>
      </w:numPr>
      <w:spacing w:before="360"/>
      <w:outlineLvl w:val="1"/>
    </w:pPr>
    <w:rPr>
      <w:rFonts w:ascii="Times" w:hAnsi="Times"/>
      <w:bCs w:val="0"/>
      <w:sz w:val="28"/>
      <w:szCs w:val="24"/>
      <w:lang w:eastAsia="en-GB"/>
    </w:rPr>
  </w:style>
  <w:style w:type="paragraph" w:styleId="Heading3">
    <w:name w:val="heading 3"/>
    <w:basedOn w:val="Heading1"/>
    <w:next w:val="Normal"/>
    <w:link w:val="Heading3Char"/>
    <w:qFormat/>
    <w:rsid w:val="00961950"/>
    <w:pPr>
      <w:numPr>
        <w:ilvl w:val="2"/>
      </w:numPr>
      <w:spacing w:before="360"/>
      <w:outlineLvl w:val="2"/>
    </w:pPr>
    <w:rPr>
      <w:rFonts w:ascii="Times" w:hAnsi="Times"/>
      <w:bCs w:val="0"/>
      <w:sz w:val="24"/>
      <w:szCs w:val="26"/>
    </w:rPr>
  </w:style>
  <w:style w:type="paragraph" w:styleId="Heading4">
    <w:name w:val="heading 4"/>
    <w:basedOn w:val="Heading1"/>
    <w:next w:val="Normal"/>
    <w:link w:val="Heading4Char"/>
    <w:qFormat/>
    <w:rsid w:val="00961950"/>
    <w:pPr>
      <w:numPr>
        <w:ilvl w:val="3"/>
      </w:numPr>
      <w:spacing w:before="200"/>
      <w:outlineLvl w:val="3"/>
    </w:pPr>
    <w:rPr>
      <w:rFonts w:ascii="Times" w:eastAsiaTheme="majorEastAsia" w:hAnsi="Times" w:cstheme="majorBidi"/>
      <w:bCs w:val="0"/>
      <w:iCs/>
      <w:sz w:val="24"/>
      <w:szCs w:val="24"/>
    </w:rPr>
  </w:style>
  <w:style w:type="paragraph" w:styleId="Heading5">
    <w:name w:val="heading 5"/>
    <w:basedOn w:val="Heading1"/>
    <w:next w:val="Normal"/>
    <w:link w:val="Heading5Char"/>
    <w:qFormat/>
    <w:rsid w:val="00961950"/>
    <w:pPr>
      <w:keepLines/>
      <w:numPr>
        <w:ilvl w:val="4"/>
      </w:numPr>
      <w:spacing w:before="200"/>
      <w:outlineLvl w:val="4"/>
    </w:pPr>
    <w:rPr>
      <w:rFonts w:eastAsiaTheme="majorEastAsia" w:cstheme="majorBidi"/>
      <w:sz w:val="22"/>
      <w:szCs w:val="24"/>
    </w:rPr>
  </w:style>
  <w:style w:type="paragraph" w:styleId="Heading6">
    <w:name w:val="heading 6"/>
    <w:basedOn w:val="Heading1"/>
    <w:next w:val="Normal"/>
    <w:link w:val="Heading6Char"/>
    <w:qFormat/>
    <w:rsid w:val="00961950"/>
    <w:pPr>
      <w:keepLines/>
      <w:numPr>
        <w:ilvl w:val="5"/>
      </w:numPr>
      <w:spacing w:before="200"/>
      <w:outlineLvl w:val="5"/>
    </w:pPr>
    <w:rPr>
      <w:rFonts w:eastAsiaTheme="majorEastAsia" w:cstheme="majorBidi"/>
      <w:b w:val="0"/>
      <w:iCs/>
      <w:sz w:val="22"/>
      <w:szCs w:val="24"/>
    </w:rPr>
  </w:style>
  <w:style w:type="paragraph" w:styleId="Heading7">
    <w:name w:val="heading 7"/>
    <w:basedOn w:val="Heading1"/>
    <w:next w:val="Normal"/>
    <w:link w:val="Heading7Char"/>
    <w:qFormat/>
    <w:rsid w:val="00961950"/>
    <w:pPr>
      <w:keepLines/>
      <w:numPr>
        <w:ilvl w:val="6"/>
      </w:numPr>
      <w:spacing w:before="200"/>
      <w:outlineLvl w:val="6"/>
    </w:pPr>
    <w:rPr>
      <w:rFonts w:eastAsiaTheme="majorEastAsia" w:cstheme="majorBidi"/>
      <w:b w:val="0"/>
      <w:iCs/>
      <w:sz w:val="22"/>
      <w:szCs w:val="24"/>
    </w:rPr>
  </w:style>
  <w:style w:type="paragraph" w:styleId="Heading8">
    <w:name w:val="heading 8"/>
    <w:basedOn w:val="Heading1"/>
    <w:next w:val="Normal"/>
    <w:link w:val="Heading8Char"/>
    <w:qFormat/>
    <w:rsid w:val="00961950"/>
    <w:pPr>
      <w:keepLines/>
      <w:numPr>
        <w:ilvl w:val="7"/>
      </w:numPr>
      <w:spacing w:before="200"/>
      <w:outlineLvl w:val="7"/>
    </w:pPr>
    <w:rPr>
      <w:rFonts w:eastAsiaTheme="majorEastAsia" w:cstheme="majorBidi"/>
      <w:b w:val="0"/>
      <w:sz w:val="22"/>
    </w:rPr>
  </w:style>
  <w:style w:type="paragraph" w:styleId="Heading9">
    <w:name w:val="heading 9"/>
    <w:basedOn w:val="Heading1"/>
    <w:next w:val="Normal"/>
    <w:link w:val="Heading9Char"/>
    <w:qFormat/>
    <w:rsid w:val="00961950"/>
    <w:pPr>
      <w:keepLines/>
      <w:numPr>
        <w:ilvl w:val="8"/>
      </w:numPr>
      <w:spacing w:before="200"/>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31460"/>
    <w:rPr>
      <w:rFonts w:ascii="Lucida Grande" w:hAnsi="Lucida Grande" w:cs="Lucida Grande"/>
      <w:sz w:val="18"/>
      <w:szCs w:val="18"/>
    </w:rPr>
  </w:style>
  <w:style w:type="character" w:customStyle="1" w:styleId="BalloonTextChar">
    <w:name w:val="Balloon Text Char"/>
    <w:basedOn w:val="DefaultParagraphFont"/>
    <w:link w:val="BalloonText"/>
    <w:semiHidden/>
    <w:rsid w:val="00831460"/>
    <w:rPr>
      <w:rFonts w:ascii="Lucida Grande" w:eastAsiaTheme="minorHAnsi" w:hAnsi="Lucida Grande" w:cs="Lucida Grande"/>
      <w:sz w:val="18"/>
      <w:szCs w:val="18"/>
      <w:lang w:eastAsia="en-US"/>
    </w:rPr>
  </w:style>
  <w:style w:type="character" w:customStyle="1" w:styleId="Heading1Char">
    <w:name w:val="Heading 1 Char"/>
    <w:basedOn w:val="DefaultParagraphFont"/>
    <w:link w:val="Heading1"/>
    <w:rsid w:val="00961950"/>
    <w:rPr>
      <w:rFonts w:ascii="Lucida Sans" w:eastAsia="Times New Roman" w:hAnsi="Lucida Sans" w:cs="Arial"/>
      <w:b/>
      <w:bCs/>
      <w:kern w:val="32"/>
      <w:sz w:val="36"/>
      <w:szCs w:val="32"/>
      <w:lang w:val="en-GB" w:eastAsia="en-US"/>
    </w:rPr>
  </w:style>
  <w:style w:type="character" w:customStyle="1" w:styleId="Heading2Char">
    <w:name w:val="Heading 2 Char"/>
    <w:basedOn w:val="DefaultParagraphFont"/>
    <w:link w:val="Heading2"/>
    <w:rsid w:val="00961950"/>
    <w:rPr>
      <w:rFonts w:ascii="Times" w:eastAsia="Times New Roman" w:hAnsi="Times" w:cs="Arial"/>
      <w:b/>
      <w:kern w:val="32"/>
      <w:sz w:val="28"/>
      <w:lang w:val="en-GB" w:eastAsia="en-GB"/>
    </w:rPr>
  </w:style>
  <w:style w:type="character" w:customStyle="1" w:styleId="Heading3Char">
    <w:name w:val="Heading 3 Char"/>
    <w:basedOn w:val="DefaultParagraphFont"/>
    <w:link w:val="Heading3"/>
    <w:rsid w:val="00961950"/>
    <w:rPr>
      <w:rFonts w:ascii="Times" w:eastAsia="Times New Roman" w:hAnsi="Times" w:cs="Arial"/>
      <w:b/>
      <w:kern w:val="32"/>
      <w:szCs w:val="26"/>
      <w:lang w:val="en-GB" w:eastAsia="en-US"/>
    </w:rPr>
  </w:style>
  <w:style w:type="character" w:customStyle="1" w:styleId="Heading4Char">
    <w:name w:val="Heading 4 Char"/>
    <w:basedOn w:val="DefaultParagraphFont"/>
    <w:link w:val="Heading4"/>
    <w:rsid w:val="00961950"/>
    <w:rPr>
      <w:rFonts w:ascii="Times" w:eastAsiaTheme="majorEastAsia" w:hAnsi="Times" w:cstheme="majorBidi"/>
      <w:b/>
      <w:iCs/>
      <w:kern w:val="32"/>
      <w:lang w:val="en-GB" w:eastAsia="en-US"/>
    </w:rPr>
  </w:style>
  <w:style w:type="character" w:customStyle="1" w:styleId="Heading5Char">
    <w:name w:val="Heading 5 Char"/>
    <w:basedOn w:val="DefaultParagraphFont"/>
    <w:link w:val="Heading5"/>
    <w:rsid w:val="00961950"/>
    <w:rPr>
      <w:rFonts w:ascii="Lucida Sans" w:eastAsiaTheme="majorEastAsia" w:hAnsi="Lucida Sans" w:cstheme="majorBidi"/>
      <w:b/>
      <w:bCs/>
      <w:kern w:val="32"/>
      <w:sz w:val="22"/>
      <w:lang w:val="en-GB" w:eastAsia="en-US"/>
    </w:rPr>
  </w:style>
  <w:style w:type="character" w:customStyle="1" w:styleId="Heading6Char">
    <w:name w:val="Heading 6 Char"/>
    <w:basedOn w:val="DefaultParagraphFont"/>
    <w:link w:val="Heading6"/>
    <w:rsid w:val="00961950"/>
    <w:rPr>
      <w:rFonts w:ascii="Lucida Sans" w:eastAsiaTheme="majorEastAsia" w:hAnsi="Lucida Sans" w:cstheme="majorBidi"/>
      <w:bCs/>
      <w:iCs/>
      <w:kern w:val="32"/>
      <w:sz w:val="22"/>
      <w:lang w:val="en-GB" w:eastAsia="en-US"/>
    </w:rPr>
  </w:style>
  <w:style w:type="character" w:customStyle="1" w:styleId="Heading7Char">
    <w:name w:val="Heading 7 Char"/>
    <w:basedOn w:val="DefaultParagraphFont"/>
    <w:link w:val="Heading7"/>
    <w:rsid w:val="00961950"/>
    <w:rPr>
      <w:rFonts w:ascii="Lucida Sans" w:eastAsiaTheme="majorEastAsia" w:hAnsi="Lucida Sans" w:cstheme="majorBidi"/>
      <w:bCs/>
      <w:iCs/>
      <w:kern w:val="32"/>
      <w:sz w:val="22"/>
      <w:lang w:val="en-GB" w:eastAsia="en-US"/>
    </w:rPr>
  </w:style>
  <w:style w:type="character" w:customStyle="1" w:styleId="Heading8Char">
    <w:name w:val="Heading 8 Char"/>
    <w:basedOn w:val="DefaultParagraphFont"/>
    <w:link w:val="Heading8"/>
    <w:rsid w:val="00961950"/>
    <w:rPr>
      <w:rFonts w:ascii="Lucida Sans" w:eastAsiaTheme="majorEastAsia" w:hAnsi="Lucida Sans" w:cstheme="majorBidi"/>
      <w:bCs/>
      <w:kern w:val="32"/>
      <w:sz w:val="22"/>
      <w:szCs w:val="32"/>
      <w:lang w:val="en-GB" w:eastAsia="en-US"/>
    </w:rPr>
  </w:style>
  <w:style w:type="character" w:customStyle="1" w:styleId="Heading9Char">
    <w:name w:val="Heading 9 Char"/>
    <w:basedOn w:val="DefaultParagraphFont"/>
    <w:link w:val="Heading9"/>
    <w:rsid w:val="00961950"/>
    <w:rPr>
      <w:rFonts w:ascii="Lucida Sans" w:eastAsiaTheme="majorEastAsia" w:hAnsi="Lucida Sans" w:cstheme="majorBidi"/>
      <w:bCs/>
      <w:iCs/>
      <w:color w:val="000000" w:themeColor="text1"/>
      <w:kern w:val="32"/>
      <w:sz w:val="22"/>
      <w:szCs w:val="32"/>
      <w:lang w:val="en-GB" w:eastAsia="en-US"/>
    </w:rPr>
  </w:style>
  <w:style w:type="paragraph" w:styleId="BodyText">
    <w:name w:val="Body Text"/>
    <w:basedOn w:val="Normal"/>
    <w:link w:val="BodyTextChar"/>
    <w:semiHidden/>
    <w:rsid w:val="00961950"/>
    <w:rPr>
      <w:szCs w:val="22"/>
      <w:lang w:eastAsia="en-GB"/>
    </w:rPr>
  </w:style>
  <w:style w:type="character" w:customStyle="1" w:styleId="BodyTextChar">
    <w:name w:val="Body Text Char"/>
    <w:basedOn w:val="DefaultParagraphFont"/>
    <w:link w:val="BodyText"/>
    <w:semiHidden/>
    <w:rsid w:val="00961950"/>
    <w:rPr>
      <w:rFonts w:ascii="Times" w:eastAsia="Times New Roman" w:hAnsi="Times" w:cs="Times New Roman"/>
      <w:szCs w:val="22"/>
      <w:lang w:val="en-GB" w:eastAsia="en-GB"/>
    </w:rPr>
  </w:style>
  <w:style w:type="paragraph" w:styleId="BodyTextIndent">
    <w:name w:val="Body Text Indent"/>
    <w:basedOn w:val="Normal"/>
    <w:link w:val="BodyTextIndentChar"/>
    <w:semiHidden/>
    <w:rsid w:val="00961950"/>
    <w:pPr>
      <w:ind w:left="283"/>
    </w:pPr>
  </w:style>
  <w:style w:type="character" w:customStyle="1" w:styleId="BodyTextIndentChar">
    <w:name w:val="Body Text Indent Char"/>
    <w:basedOn w:val="DefaultParagraphFont"/>
    <w:link w:val="BodyTextIndent"/>
    <w:semiHidden/>
    <w:rsid w:val="00961950"/>
    <w:rPr>
      <w:rFonts w:ascii="Times" w:eastAsia="Times New Roman" w:hAnsi="Times" w:cs="Times New Roman"/>
      <w:lang w:val="en-GB" w:eastAsia="en-US"/>
    </w:rPr>
  </w:style>
  <w:style w:type="paragraph" w:styleId="Footer">
    <w:name w:val="footer"/>
    <w:link w:val="FooterChar"/>
    <w:rsid w:val="00961950"/>
    <w:pPr>
      <w:tabs>
        <w:tab w:val="center" w:pos="4153"/>
        <w:tab w:val="right" w:pos="8306"/>
      </w:tabs>
      <w:spacing w:after="120"/>
    </w:pPr>
    <w:rPr>
      <w:rFonts w:ascii="Times" w:eastAsia="Times New Roman" w:hAnsi="Times" w:cs="Times New Roman"/>
      <w:sz w:val="22"/>
      <w:lang w:val="en-GB" w:eastAsia="en-US"/>
    </w:rPr>
  </w:style>
  <w:style w:type="character" w:customStyle="1" w:styleId="FooterChar">
    <w:name w:val="Footer Char"/>
    <w:basedOn w:val="DefaultParagraphFont"/>
    <w:link w:val="Footer"/>
    <w:rsid w:val="00961950"/>
    <w:rPr>
      <w:rFonts w:ascii="Times" w:eastAsia="Times New Roman" w:hAnsi="Times" w:cs="Times New Roman"/>
      <w:sz w:val="22"/>
      <w:lang w:val="en-GB" w:eastAsia="en-US"/>
    </w:rPr>
  </w:style>
  <w:style w:type="character" w:styleId="PageNumber">
    <w:name w:val="page number"/>
    <w:rsid w:val="00961950"/>
    <w:rPr>
      <w:rFonts w:ascii="Times" w:hAnsi="Times"/>
      <w:sz w:val="24"/>
      <w:lang w:val="en-GB"/>
    </w:rPr>
  </w:style>
  <w:style w:type="paragraph" w:styleId="DocumentMap">
    <w:name w:val="Document Map"/>
    <w:basedOn w:val="Normal"/>
    <w:link w:val="DocumentMapChar"/>
    <w:semiHidden/>
    <w:rsid w:val="00961950"/>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961950"/>
    <w:rPr>
      <w:rFonts w:ascii="Tahoma" w:eastAsia="Times New Roman" w:hAnsi="Tahoma" w:cs="Tahoma"/>
      <w:szCs w:val="20"/>
      <w:shd w:val="clear" w:color="auto" w:fill="000080"/>
      <w:lang w:val="en-GB" w:eastAsia="en-US"/>
    </w:rPr>
  </w:style>
  <w:style w:type="paragraph" w:styleId="Header">
    <w:name w:val="header"/>
    <w:link w:val="HeaderChar"/>
    <w:rsid w:val="00961950"/>
    <w:pPr>
      <w:tabs>
        <w:tab w:val="center" w:pos="4153"/>
        <w:tab w:val="right" w:pos="8306"/>
      </w:tabs>
      <w:spacing w:after="120"/>
    </w:pPr>
    <w:rPr>
      <w:rFonts w:ascii="Times" w:eastAsia="Times New Roman" w:hAnsi="Times" w:cs="Times New Roman"/>
      <w:sz w:val="22"/>
      <w:lang w:val="en-GB" w:eastAsia="en-US"/>
    </w:rPr>
  </w:style>
  <w:style w:type="character" w:customStyle="1" w:styleId="HeaderChar">
    <w:name w:val="Header Char"/>
    <w:basedOn w:val="DefaultParagraphFont"/>
    <w:link w:val="Header"/>
    <w:rsid w:val="00961950"/>
    <w:rPr>
      <w:rFonts w:ascii="Times" w:eastAsia="Times New Roman" w:hAnsi="Times" w:cs="Times New Roman"/>
      <w:sz w:val="22"/>
      <w:lang w:val="en-GB" w:eastAsia="en-US"/>
    </w:rPr>
  </w:style>
  <w:style w:type="paragraph" w:styleId="Caption">
    <w:name w:val="caption"/>
    <w:next w:val="Normal"/>
    <w:rsid w:val="00961950"/>
    <w:pPr>
      <w:tabs>
        <w:tab w:val="left" w:pos="1418"/>
      </w:tabs>
      <w:spacing w:before="120" w:after="120"/>
    </w:pPr>
    <w:rPr>
      <w:rFonts w:ascii="Times" w:eastAsia="Times New Roman" w:hAnsi="Times" w:cs="Times New Roman"/>
      <w:sz w:val="22"/>
      <w:szCs w:val="26"/>
      <w:lang w:val="en-GB" w:eastAsia="en-US"/>
    </w:rPr>
  </w:style>
  <w:style w:type="character" w:styleId="Hyperlink">
    <w:name w:val="Hyperlink"/>
    <w:basedOn w:val="DefaultParagraphFont"/>
    <w:uiPriority w:val="99"/>
    <w:rsid w:val="00961950"/>
    <w:rPr>
      <w:rFonts w:ascii="Lucida Sans" w:hAnsi="Lucida Sans"/>
      <w:color w:val="0000FF"/>
      <w:sz w:val="22"/>
      <w:u w:val="single"/>
      <w:lang w:val="en-GB"/>
    </w:rPr>
  </w:style>
  <w:style w:type="table" w:styleId="TableGrid">
    <w:name w:val="Table Grid"/>
    <w:basedOn w:val="TableNormal"/>
    <w:rsid w:val="00961950"/>
    <w:pPr>
      <w:adjustRightInd w:val="0"/>
      <w:spacing w:before="40" w:after="40"/>
    </w:pPr>
    <w:rPr>
      <w:rFonts w:ascii="Lucida Sans" w:eastAsia="Times New Roman" w:hAnsi="Lucida Sans" w:cs="Times New Roman"/>
      <w:lang w:val="en-GB"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TableCell">
    <w:name w:val="Table Cell"/>
    <w:basedOn w:val="Normal"/>
    <w:rsid w:val="00961950"/>
    <w:pPr>
      <w:spacing w:before="40" w:after="40"/>
      <w:ind w:left="6"/>
    </w:pPr>
  </w:style>
  <w:style w:type="table" w:customStyle="1" w:styleId="FigureNoOutline">
    <w:name w:val="Figure No Outline"/>
    <w:basedOn w:val="TableNormal"/>
    <w:rsid w:val="00961950"/>
    <w:rPr>
      <w:rFonts w:ascii="Lucida Sans" w:eastAsia="Times New Roman" w:hAnsi="Lucida Sans" w:cs="Times New Roman"/>
      <w:lang w:val="en-GB" w:eastAsia="zh-CN"/>
    </w:rPr>
    <w:tblPr>
      <w:tblInd w:w="0" w:type="dxa"/>
      <w:tblCellMar>
        <w:top w:w="0" w:type="dxa"/>
        <w:left w:w="0" w:type="dxa"/>
        <w:bottom w:w="0" w:type="dxa"/>
        <w:right w:w="0" w:type="dxa"/>
      </w:tblCellMar>
    </w:tblPr>
  </w:style>
  <w:style w:type="table" w:customStyle="1" w:styleId="FigureOutline">
    <w:name w:val="Figure Outline"/>
    <w:basedOn w:val="TableNormal"/>
    <w:rsid w:val="00961950"/>
    <w:rPr>
      <w:rFonts w:ascii="Lucida Sans" w:eastAsia="Times New Roman" w:hAnsi="Lucida Sans" w:cs="Times New Roman"/>
      <w:lang w:val="en-GB" w:eastAsia="zh-CN"/>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paragraph" w:styleId="TableofFigures">
    <w:name w:val="table of figures"/>
    <w:next w:val="Normal"/>
    <w:autoRedefine/>
    <w:uiPriority w:val="99"/>
    <w:rsid w:val="00961950"/>
    <w:pPr>
      <w:tabs>
        <w:tab w:val="left" w:pos="1560"/>
        <w:tab w:val="right" w:leader="dot" w:pos="8505"/>
      </w:tabs>
      <w:spacing w:line="360" w:lineRule="auto"/>
      <w:ind w:left="1560" w:hanging="1560"/>
    </w:pPr>
    <w:rPr>
      <w:rFonts w:ascii="Times" w:eastAsia="Times New Roman" w:hAnsi="Times" w:cs="Times New Roman"/>
      <w:lang w:val="en-GB" w:eastAsia="en-US"/>
    </w:rPr>
  </w:style>
  <w:style w:type="paragraph" w:customStyle="1" w:styleId="Contents">
    <w:name w:val="Contents"/>
    <w:next w:val="Normal"/>
    <w:qFormat/>
    <w:rsid w:val="00961950"/>
    <w:pPr>
      <w:spacing w:after="240"/>
      <w:outlineLvl w:val="0"/>
    </w:pPr>
    <w:rPr>
      <w:rFonts w:ascii="Lucida Sans" w:eastAsia="Times New Roman" w:hAnsi="Lucida Sans" w:cs="Arial"/>
      <w:b/>
      <w:bCs/>
      <w:kern w:val="32"/>
      <w:sz w:val="36"/>
      <w:szCs w:val="32"/>
      <w:lang w:val="en-GB" w:eastAsia="en-US"/>
    </w:rPr>
  </w:style>
  <w:style w:type="paragraph" w:customStyle="1" w:styleId="TitlePage">
    <w:name w:val="TitlePage"/>
    <w:rsid w:val="00961950"/>
    <w:pPr>
      <w:spacing w:line="360" w:lineRule="auto"/>
      <w:jc w:val="center"/>
    </w:pPr>
    <w:rPr>
      <w:rFonts w:ascii="Lucida Sans" w:eastAsia="Times New Roman" w:hAnsi="Lucida Sans" w:cs="Times New Roman"/>
      <w:lang w:val="en-GB" w:eastAsia="en-US"/>
    </w:rPr>
  </w:style>
  <w:style w:type="paragraph" w:customStyle="1" w:styleId="Quotation">
    <w:name w:val="Quotation"/>
    <w:qFormat/>
    <w:rsid w:val="00961950"/>
    <w:pPr>
      <w:spacing w:line="360" w:lineRule="auto"/>
      <w:ind w:left="425" w:right="425"/>
    </w:pPr>
    <w:rPr>
      <w:rFonts w:ascii="Lucida Sans" w:eastAsia="Times New Roman" w:hAnsi="Lucida Sans" w:cs="Times New Roman"/>
      <w:iCs/>
      <w:sz w:val="22"/>
      <w:lang w:val="en-GB" w:eastAsia="en-US"/>
    </w:rPr>
  </w:style>
  <w:style w:type="paragraph" w:styleId="TOC1">
    <w:name w:val="toc 1"/>
    <w:basedOn w:val="Normal"/>
    <w:next w:val="Normal"/>
    <w:autoRedefine/>
    <w:uiPriority w:val="39"/>
    <w:rsid w:val="00961950"/>
    <w:pPr>
      <w:keepNext/>
      <w:tabs>
        <w:tab w:val="left" w:pos="993"/>
        <w:tab w:val="right" w:leader="dot" w:pos="8495"/>
      </w:tabs>
      <w:spacing w:after="100"/>
      <w:ind w:left="992" w:hanging="992"/>
    </w:pPr>
    <w:rPr>
      <w:b/>
    </w:rPr>
  </w:style>
  <w:style w:type="paragraph" w:styleId="TOC2">
    <w:name w:val="toc 2"/>
    <w:basedOn w:val="TOC1"/>
    <w:next w:val="Normal"/>
    <w:autoRedefine/>
    <w:uiPriority w:val="39"/>
    <w:rsid w:val="00961950"/>
    <w:pPr>
      <w:keepNext w:val="0"/>
      <w:tabs>
        <w:tab w:val="clear" w:pos="993"/>
        <w:tab w:val="left" w:pos="851"/>
      </w:tabs>
      <w:spacing w:line="240" w:lineRule="auto"/>
      <w:ind w:left="851" w:hanging="567"/>
    </w:pPr>
    <w:rPr>
      <w:b w:val="0"/>
    </w:rPr>
  </w:style>
  <w:style w:type="paragraph" w:styleId="TOC3">
    <w:name w:val="toc 3"/>
    <w:basedOn w:val="TOC1"/>
    <w:next w:val="Normal"/>
    <w:autoRedefine/>
    <w:uiPriority w:val="39"/>
    <w:rsid w:val="00961950"/>
    <w:pPr>
      <w:keepNext w:val="0"/>
      <w:tabs>
        <w:tab w:val="clear" w:pos="993"/>
        <w:tab w:val="left" w:pos="1701"/>
      </w:tabs>
      <w:ind w:left="1701"/>
    </w:pPr>
    <w:rPr>
      <w:b w:val="0"/>
    </w:rPr>
  </w:style>
  <w:style w:type="paragraph" w:styleId="TOC4">
    <w:name w:val="toc 4"/>
    <w:basedOn w:val="Normal"/>
    <w:next w:val="Normal"/>
    <w:autoRedefine/>
    <w:rsid w:val="00961950"/>
    <w:pPr>
      <w:tabs>
        <w:tab w:val="left" w:pos="1843"/>
      </w:tabs>
      <w:spacing w:after="100"/>
      <w:ind w:left="1843" w:hanging="850"/>
    </w:pPr>
  </w:style>
  <w:style w:type="paragraph" w:styleId="TOCHeading">
    <w:name w:val="TOC Heading"/>
    <w:basedOn w:val="Heading1"/>
    <w:next w:val="Normal"/>
    <w:uiPriority w:val="39"/>
    <w:semiHidden/>
    <w:unhideWhenUsed/>
    <w:qFormat/>
    <w:rsid w:val="0096195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ContentsSubheading">
    <w:name w:val="Contents Subheading"/>
    <w:basedOn w:val="Contents"/>
    <w:next w:val="Normal"/>
    <w:qFormat/>
    <w:rsid w:val="00961950"/>
    <w:pPr>
      <w:outlineLvl w:val="1"/>
    </w:pPr>
    <w:rPr>
      <w:sz w:val="28"/>
    </w:rPr>
  </w:style>
  <w:style w:type="paragraph" w:customStyle="1" w:styleId="Declaration">
    <w:name w:val="Declaration"/>
    <w:qFormat/>
    <w:rsid w:val="00961950"/>
    <w:pPr>
      <w:spacing w:line="360" w:lineRule="auto"/>
      <w:ind w:left="6"/>
    </w:pPr>
    <w:rPr>
      <w:rFonts w:ascii="Times" w:eastAsia="Times New Roman" w:hAnsi="Times" w:cs="Times New Roman"/>
      <w:lang w:val="en-GB" w:eastAsia="en-US"/>
    </w:rPr>
  </w:style>
  <w:style w:type="paragraph" w:styleId="TOC5">
    <w:name w:val="toc 5"/>
    <w:basedOn w:val="TOC1"/>
    <w:next w:val="Normal"/>
    <w:autoRedefine/>
    <w:rsid w:val="00961950"/>
    <w:pPr>
      <w:tabs>
        <w:tab w:val="clear" w:pos="993"/>
        <w:tab w:val="left" w:pos="2127"/>
      </w:tabs>
      <w:ind w:left="2127"/>
    </w:pPr>
    <w:rPr>
      <w:b w:val="0"/>
      <w:sz w:val="22"/>
    </w:rPr>
  </w:style>
  <w:style w:type="paragraph" w:customStyle="1" w:styleId="AppendixMain">
    <w:name w:val="Appendix Main"/>
    <w:basedOn w:val="Contents"/>
    <w:next w:val="Normal"/>
    <w:qFormat/>
    <w:rsid w:val="00961950"/>
    <w:pPr>
      <w:numPr>
        <w:numId w:val="3"/>
      </w:numPr>
    </w:pPr>
  </w:style>
  <w:style w:type="paragraph" w:customStyle="1" w:styleId="AppendixSubheading">
    <w:name w:val="Appendix Subheading"/>
    <w:basedOn w:val="ContentsSubheading"/>
    <w:next w:val="Normal"/>
    <w:qFormat/>
    <w:rsid w:val="00961950"/>
    <w:pPr>
      <w:numPr>
        <w:ilvl w:val="1"/>
        <w:numId w:val="3"/>
      </w:numPr>
    </w:pPr>
    <w:rPr>
      <w:rFonts w:ascii="Times" w:hAnsi="Times"/>
    </w:rPr>
  </w:style>
  <w:style w:type="paragraph" w:customStyle="1" w:styleId="AppendixThird">
    <w:name w:val="Appendix Third"/>
    <w:basedOn w:val="Normal"/>
    <w:next w:val="Normal"/>
    <w:qFormat/>
    <w:rsid w:val="00961950"/>
    <w:pPr>
      <w:numPr>
        <w:ilvl w:val="2"/>
        <w:numId w:val="3"/>
      </w:numPr>
      <w:outlineLvl w:val="2"/>
    </w:pPr>
    <w:rPr>
      <w:b/>
    </w:rPr>
  </w:style>
  <w:style w:type="character" w:styleId="Emphasis">
    <w:name w:val="Emphasis"/>
    <w:basedOn w:val="DefaultParagraphFont"/>
    <w:uiPriority w:val="20"/>
    <w:qFormat/>
    <w:rsid w:val="00961950"/>
    <w:rPr>
      <w:i/>
      <w:iCs/>
    </w:rPr>
  </w:style>
  <w:style w:type="character" w:customStyle="1" w:styleId="formulatext">
    <w:name w:val="formulatext"/>
    <w:basedOn w:val="DefaultParagraphFont"/>
    <w:rsid w:val="00961950"/>
  </w:style>
  <w:style w:type="character" w:customStyle="1" w:styleId="mb">
    <w:name w:val="mb"/>
    <w:basedOn w:val="DefaultParagraphFont"/>
    <w:rsid w:val="00961950"/>
  </w:style>
  <w:style w:type="paragraph" w:customStyle="1" w:styleId="Body">
    <w:name w:val="Body"/>
    <w:rsid w:val="00961950"/>
    <w:pPr>
      <w:pBdr>
        <w:top w:val="nil"/>
        <w:left w:val="nil"/>
        <w:bottom w:val="nil"/>
        <w:right w:val="nil"/>
        <w:between w:val="nil"/>
        <w:bar w:val="nil"/>
      </w:pBdr>
    </w:pPr>
    <w:rPr>
      <w:rFonts w:eastAsia="Arial Unicode MS" w:hAnsi="Arial Unicode MS" w:cs="Arial Unicode MS"/>
      <w:color w:val="000000"/>
      <w:u w:color="000000"/>
      <w:bdr w:val="nil"/>
      <w:lang w:eastAsia="en-US"/>
    </w:rPr>
  </w:style>
  <w:style w:type="paragraph" w:customStyle="1" w:styleId="EndNoteBibliography">
    <w:name w:val="EndNote Bibliography"/>
    <w:basedOn w:val="EndnoteText"/>
    <w:rsid w:val="00961950"/>
    <w:pPr>
      <w:pBdr>
        <w:top w:val="nil"/>
        <w:left w:val="nil"/>
        <w:bottom w:val="nil"/>
        <w:right w:val="nil"/>
        <w:between w:val="nil"/>
        <w:bar w:val="nil"/>
      </w:pBdr>
    </w:pPr>
    <w:rPr>
      <w:rFonts w:eastAsia="Arial Unicode MS"/>
      <w:bdr w:val="nil"/>
      <w:lang w:val="en-US"/>
    </w:rPr>
  </w:style>
  <w:style w:type="character" w:customStyle="1" w:styleId="st">
    <w:name w:val="st"/>
    <w:basedOn w:val="DefaultParagraphFont"/>
    <w:rsid w:val="00961950"/>
  </w:style>
  <w:style w:type="character" w:customStyle="1" w:styleId="italic">
    <w:name w:val="italic"/>
    <w:basedOn w:val="DefaultParagraphFont"/>
    <w:rsid w:val="00961950"/>
  </w:style>
  <w:style w:type="character" w:styleId="Strong">
    <w:name w:val="Strong"/>
    <w:basedOn w:val="DefaultParagraphFont"/>
    <w:uiPriority w:val="22"/>
    <w:qFormat/>
    <w:rsid w:val="00961950"/>
    <w:rPr>
      <w:b/>
      <w:bCs/>
    </w:rPr>
  </w:style>
  <w:style w:type="paragraph" w:styleId="CommentText">
    <w:name w:val="annotation text"/>
    <w:basedOn w:val="Normal"/>
    <w:link w:val="CommentTextChar"/>
    <w:uiPriority w:val="99"/>
    <w:unhideWhenUsed/>
    <w:rsid w:val="00961950"/>
    <w:pPr>
      <w:pBdr>
        <w:top w:val="nil"/>
        <w:left w:val="nil"/>
        <w:bottom w:val="nil"/>
        <w:right w:val="nil"/>
        <w:between w:val="nil"/>
        <w:bar w:val="nil"/>
      </w:pBdr>
      <w:spacing w:after="0" w:line="240" w:lineRule="auto"/>
    </w:pPr>
    <w:rPr>
      <w:rFonts w:ascii="Times New Roman" w:eastAsia="Arial Unicode MS" w:hAnsi="Times New Roman"/>
      <w:bdr w:val="nil"/>
      <w:lang w:val="en-US"/>
    </w:rPr>
  </w:style>
  <w:style w:type="character" w:customStyle="1" w:styleId="CommentTextChar">
    <w:name w:val="Comment Text Char"/>
    <w:basedOn w:val="DefaultParagraphFont"/>
    <w:link w:val="CommentText"/>
    <w:uiPriority w:val="99"/>
    <w:rsid w:val="00961950"/>
    <w:rPr>
      <w:rFonts w:eastAsia="Arial Unicode MS" w:cs="Times New Roman"/>
      <w:bdr w:val="nil"/>
      <w:lang w:eastAsia="en-US"/>
    </w:rPr>
  </w:style>
  <w:style w:type="paragraph" w:customStyle="1" w:styleId="Default">
    <w:name w:val="Default"/>
    <w:rsid w:val="00961950"/>
    <w:pPr>
      <w:widowControl w:val="0"/>
      <w:autoSpaceDE w:val="0"/>
      <w:autoSpaceDN w:val="0"/>
      <w:adjustRightInd w:val="0"/>
    </w:pPr>
    <w:rPr>
      <w:rFonts w:ascii="Gulliver" w:hAnsi="Gulliver" w:cs="Gulliver"/>
      <w:color w:val="000000"/>
    </w:rPr>
  </w:style>
  <w:style w:type="paragraph" w:styleId="ListParagraph">
    <w:name w:val="List Paragraph"/>
    <w:basedOn w:val="Normal"/>
    <w:uiPriority w:val="99"/>
    <w:qFormat/>
    <w:rsid w:val="00961950"/>
    <w:pPr>
      <w:spacing w:after="0" w:line="240" w:lineRule="auto"/>
      <w:ind w:left="720"/>
      <w:contextualSpacing/>
    </w:pPr>
    <w:rPr>
      <w:rFonts w:ascii="Cambria" w:eastAsia="MS ??" w:hAnsi="Cambria"/>
    </w:rPr>
  </w:style>
  <w:style w:type="character" w:customStyle="1" w:styleId="highwire-cite-metadata-doi">
    <w:name w:val="highwire-cite-metadata-doi"/>
    <w:basedOn w:val="DefaultParagraphFont"/>
    <w:rsid w:val="00961950"/>
  </w:style>
  <w:style w:type="character" w:customStyle="1" w:styleId="label">
    <w:name w:val="label"/>
    <w:basedOn w:val="DefaultParagraphFont"/>
    <w:rsid w:val="00961950"/>
  </w:style>
  <w:style w:type="character" w:customStyle="1" w:styleId="biblio-authors">
    <w:name w:val="biblio-authors"/>
    <w:basedOn w:val="DefaultParagraphFont"/>
    <w:rsid w:val="00961950"/>
  </w:style>
  <w:style w:type="character" w:customStyle="1" w:styleId="slug-metadata-note">
    <w:name w:val="slug-metadata-note"/>
    <w:basedOn w:val="DefaultParagraphFont"/>
    <w:rsid w:val="00961950"/>
  </w:style>
  <w:style w:type="character" w:customStyle="1" w:styleId="slug-doi">
    <w:name w:val="slug-doi"/>
    <w:basedOn w:val="DefaultParagraphFont"/>
    <w:rsid w:val="00961950"/>
  </w:style>
  <w:style w:type="paragraph" w:styleId="EndnoteText">
    <w:name w:val="endnote text"/>
    <w:basedOn w:val="Normal"/>
    <w:link w:val="EndnoteTextChar"/>
    <w:rsid w:val="00961950"/>
    <w:pPr>
      <w:spacing w:after="0" w:line="240" w:lineRule="auto"/>
    </w:pPr>
  </w:style>
  <w:style w:type="character" w:customStyle="1" w:styleId="EndnoteTextChar">
    <w:name w:val="Endnote Text Char"/>
    <w:basedOn w:val="DefaultParagraphFont"/>
    <w:link w:val="EndnoteText"/>
    <w:rsid w:val="00961950"/>
    <w:rPr>
      <w:rFonts w:ascii="Times" w:eastAsia="Times New Roman" w:hAnsi="Times" w:cs="Times New Roman"/>
      <w:lang w:val="en-GB" w:eastAsia="en-US"/>
    </w:rPr>
  </w:style>
  <w:style w:type="character" w:customStyle="1" w:styleId="tgc">
    <w:name w:val="_tgc"/>
    <w:basedOn w:val="DefaultParagraphFont"/>
    <w:rsid w:val="00961950"/>
  </w:style>
  <w:style w:type="character" w:customStyle="1" w:styleId="article-headermeta-info-label">
    <w:name w:val="article-header__meta-info-label"/>
    <w:basedOn w:val="DefaultParagraphFont"/>
    <w:rsid w:val="00961950"/>
  </w:style>
  <w:style w:type="character" w:customStyle="1" w:styleId="article-headermeta-info-data">
    <w:name w:val="article-header__meta-info-data"/>
    <w:basedOn w:val="DefaultParagraphFont"/>
    <w:rsid w:val="00961950"/>
  </w:style>
  <w:style w:type="character" w:styleId="CommentReference">
    <w:name w:val="annotation reference"/>
    <w:basedOn w:val="DefaultParagraphFont"/>
    <w:uiPriority w:val="99"/>
    <w:semiHidden/>
    <w:unhideWhenUsed/>
    <w:rsid w:val="00EE6940"/>
    <w:rPr>
      <w:sz w:val="18"/>
      <w:szCs w:val="18"/>
    </w:rPr>
  </w:style>
  <w:style w:type="paragraph" w:styleId="CommentSubject">
    <w:name w:val="annotation subject"/>
    <w:basedOn w:val="CommentText"/>
    <w:next w:val="CommentText"/>
    <w:link w:val="CommentSubjectChar"/>
    <w:uiPriority w:val="99"/>
    <w:semiHidden/>
    <w:unhideWhenUsed/>
    <w:rsid w:val="00EE6940"/>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imes" w:eastAsia="Times New Roman" w:hAnsi="Times"/>
      <w:b/>
      <w:bCs/>
      <w:sz w:val="20"/>
      <w:szCs w:val="20"/>
      <w:bdr w:val="none" w:sz="0" w:space="0" w:color="auto"/>
      <w:lang w:val="en-GB"/>
    </w:rPr>
  </w:style>
  <w:style w:type="character" w:customStyle="1" w:styleId="CommentSubjectChar">
    <w:name w:val="Comment Subject Char"/>
    <w:basedOn w:val="CommentTextChar"/>
    <w:link w:val="CommentSubject"/>
    <w:uiPriority w:val="99"/>
    <w:semiHidden/>
    <w:rsid w:val="00EE6940"/>
    <w:rPr>
      <w:rFonts w:ascii="Times" w:eastAsia="Times New Roman" w:hAnsi="Times" w:cs="Times New Roman"/>
      <w:b/>
      <w:bCs/>
      <w:sz w:val="20"/>
      <w:szCs w:val="20"/>
      <w:bdr w:val="nil"/>
      <w:lang w:val="en-GB" w:eastAsia="en-US"/>
    </w:rPr>
  </w:style>
  <w:style w:type="character" w:styleId="PlaceholderText">
    <w:name w:val="Placeholder Text"/>
    <w:basedOn w:val="DefaultParagraphFont"/>
    <w:uiPriority w:val="99"/>
    <w:semiHidden/>
    <w:rsid w:val="00BF4943"/>
    <w:rPr>
      <w:color w:val="808080"/>
    </w:rPr>
  </w:style>
  <w:style w:type="paragraph" w:styleId="NormalWeb">
    <w:name w:val="Normal (Web)"/>
    <w:basedOn w:val="Normal"/>
    <w:uiPriority w:val="99"/>
    <w:unhideWhenUsed/>
    <w:rsid w:val="00C26426"/>
    <w:pPr>
      <w:spacing w:before="100" w:beforeAutospacing="1" w:after="100" w:afterAutospacing="1" w:line="240" w:lineRule="auto"/>
    </w:pPr>
    <w:rPr>
      <w:rFonts w:eastAsiaTheme="minorEastAsia"/>
      <w:sz w:val="20"/>
      <w:szCs w:val="20"/>
    </w:rPr>
  </w:style>
  <w:style w:type="paragraph" w:customStyle="1" w:styleId="AuthorAffiliation">
    <w:name w:val="Author Affiliation"/>
    <w:basedOn w:val="Normal"/>
    <w:rsid w:val="005B5026"/>
    <w:pPr>
      <w:spacing w:after="0" w:line="240" w:lineRule="auto"/>
    </w:pPr>
    <w:rPr>
      <w:rFonts w:ascii="Times New Roman" w:hAnsi="Times New Roman"/>
      <w:i/>
      <w:lang w:val="en-US"/>
    </w:rPr>
  </w:style>
  <w:style w:type="character" w:customStyle="1" w:styleId="current-selection">
    <w:name w:val="current-selection"/>
    <w:basedOn w:val="DefaultParagraphFont"/>
    <w:rsid w:val="0065356E"/>
  </w:style>
  <w:style w:type="character" w:customStyle="1" w:styleId="cit-auth">
    <w:name w:val="cit-auth"/>
    <w:basedOn w:val="DefaultParagraphFont"/>
    <w:rsid w:val="00631B5A"/>
  </w:style>
  <w:style w:type="character" w:customStyle="1" w:styleId="cit-name-surname">
    <w:name w:val="cit-name-surname"/>
    <w:basedOn w:val="DefaultParagraphFont"/>
    <w:rsid w:val="00631B5A"/>
  </w:style>
  <w:style w:type="character" w:customStyle="1" w:styleId="cit-name-given-names">
    <w:name w:val="cit-name-given-names"/>
    <w:basedOn w:val="DefaultParagraphFont"/>
    <w:rsid w:val="00631B5A"/>
  </w:style>
  <w:style w:type="character" w:styleId="HTMLCite">
    <w:name w:val="HTML Cite"/>
    <w:basedOn w:val="DefaultParagraphFont"/>
    <w:uiPriority w:val="99"/>
    <w:semiHidden/>
    <w:unhideWhenUsed/>
    <w:rsid w:val="00631B5A"/>
    <w:rPr>
      <w:i/>
      <w:iCs/>
    </w:rPr>
  </w:style>
  <w:style w:type="character" w:customStyle="1" w:styleId="cit-pub-date">
    <w:name w:val="cit-pub-date"/>
    <w:basedOn w:val="DefaultParagraphFont"/>
    <w:rsid w:val="00631B5A"/>
  </w:style>
  <w:style w:type="character" w:customStyle="1" w:styleId="cit-source">
    <w:name w:val="cit-source"/>
    <w:basedOn w:val="DefaultParagraphFont"/>
    <w:rsid w:val="00631B5A"/>
  </w:style>
  <w:style w:type="character" w:customStyle="1" w:styleId="cit-publ-loc">
    <w:name w:val="cit-publ-loc"/>
    <w:basedOn w:val="DefaultParagraphFont"/>
    <w:rsid w:val="00631B5A"/>
  </w:style>
  <w:style w:type="character" w:customStyle="1" w:styleId="cit-publ-name">
    <w:name w:val="cit-publ-name"/>
    <w:basedOn w:val="DefaultParagraphFont"/>
    <w:rsid w:val="00631B5A"/>
  </w:style>
  <w:style w:type="character" w:customStyle="1" w:styleId="cit-fpage">
    <w:name w:val="cit-fpage"/>
    <w:basedOn w:val="DefaultParagraphFont"/>
    <w:rsid w:val="00631B5A"/>
  </w:style>
  <w:style w:type="character" w:customStyle="1" w:styleId="cit-comment">
    <w:name w:val="cit-comment"/>
    <w:basedOn w:val="DefaultParagraphFont"/>
    <w:rsid w:val="00631B5A"/>
  </w:style>
  <w:style w:type="character" w:styleId="LineNumber">
    <w:name w:val="line number"/>
    <w:basedOn w:val="DefaultParagraphFont"/>
    <w:uiPriority w:val="99"/>
    <w:semiHidden/>
    <w:unhideWhenUsed/>
    <w:rsid w:val="00157F2E"/>
  </w:style>
  <w:style w:type="character" w:customStyle="1" w:styleId="textrecord">
    <w:name w:val="textrecord"/>
    <w:basedOn w:val="DefaultParagraphFont"/>
    <w:rsid w:val="00EC78C6"/>
  </w:style>
  <w:style w:type="paragraph" w:styleId="Revision">
    <w:name w:val="Revision"/>
    <w:hidden/>
    <w:uiPriority w:val="99"/>
    <w:semiHidden/>
    <w:rsid w:val="001F49DA"/>
    <w:rPr>
      <w:rFonts w:ascii="Times" w:eastAsia="Times New Roman" w:hAnsi="Times"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4003">
      <w:bodyDiv w:val="1"/>
      <w:marLeft w:val="0"/>
      <w:marRight w:val="0"/>
      <w:marTop w:val="0"/>
      <w:marBottom w:val="0"/>
      <w:divBdr>
        <w:top w:val="none" w:sz="0" w:space="0" w:color="auto"/>
        <w:left w:val="none" w:sz="0" w:space="0" w:color="auto"/>
        <w:bottom w:val="none" w:sz="0" w:space="0" w:color="auto"/>
        <w:right w:val="none" w:sz="0" w:space="0" w:color="auto"/>
      </w:divBdr>
      <w:divsChild>
        <w:div w:id="912469275">
          <w:marLeft w:val="0"/>
          <w:marRight w:val="0"/>
          <w:marTop w:val="0"/>
          <w:marBottom w:val="0"/>
          <w:divBdr>
            <w:top w:val="none" w:sz="0" w:space="0" w:color="auto"/>
            <w:left w:val="none" w:sz="0" w:space="0" w:color="auto"/>
            <w:bottom w:val="none" w:sz="0" w:space="0" w:color="auto"/>
            <w:right w:val="none" w:sz="0" w:space="0" w:color="auto"/>
          </w:divBdr>
        </w:div>
        <w:div w:id="1949701818">
          <w:marLeft w:val="0"/>
          <w:marRight w:val="0"/>
          <w:marTop w:val="0"/>
          <w:marBottom w:val="0"/>
          <w:divBdr>
            <w:top w:val="none" w:sz="0" w:space="0" w:color="auto"/>
            <w:left w:val="none" w:sz="0" w:space="0" w:color="auto"/>
            <w:bottom w:val="none" w:sz="0" w:space="0" w:color="auto"/>
            <w:right w:val="none" w:sz="0" w:space="0" w:color="auto"/>
          </w:divBdr>
        </w:div>
        <w:div w:id="1797675956">
          <w:marLeft w:val="0"/>
          <w:marRight w:val="0"/>
          <w:marTop w:val="0"/>
          <w:marBottom w:val="0"/>
          <w:divBdr>
            <w:top w:val="none" w:sz="0" w:space="0" w:color="auto"/>
            <w:left w:val="none" w:sz="0" w:space="0" w:color="auto"/>
            <w:bottom w:val="none" w:sz="0" w:space="0" w:color="auto"/>
            <w:right w:val="none" w:sz="0" w:space="0" w:color="auto"/>
          </w:divBdr>
        </w:div>
        <w:div w:id="541795565">
          <w:marLeft w:val="0"/>
          <w:marRight w:val="0"/>
          <w:marTop w:val="0"/>
          <w:marBottom w:val="0"/>
          <w:divBdr>
            <w:top w:val="none" w:sz="0" w:space="0" w:color="auto"/>
            <w:left w:val="none" w:sz="0" w:space="0" w:color="auto"/>
            <w:bottom w:val="none" w:sz="0" w:space="0" w:color="auto"/>
            <w:right w:val="none" w:sz="0" w:space="0" w:color="auto"/>
          </w:divBdr>
        </w:div>
        <w:div w:id="701831154">
          <w:marLeft w:val="0"/>
          <w:marRight w:val="0"/>
          <w:marTop w:val="0"/>
          <w:marBottom w:val="0"/>
          <w:divBdr>
            <w:top w:val="none" w:sz="0" w:space="0" w:color="auto"/>
            <w:left w:val="none" w:sz="0" w:space="0" w:color="auto"/>
            <w:bottom w:val="none" w:sz="0" w:space="0" w:color="auto"/>
            <w:right w:val="none" w:sz="0" w:space="0" w:color="auto"/>
          </w:divBdr>
        </w:div>
        <w:div w:id="881671816">
          <w:marLeft w:val="0"/>
          <w:marRight w:val="0"/>
          <w:marTop w:val="0"/>
          <w:marBottom w:val="0"/>
          <w:divBdr>
            <w:top w:val="none" w:sz="0" w:space="0" w:color="auto"/>
            <w:left w:val="none" w:sz="0" w:space="0" w:color="auto"/>
            <w:bottom w:val="none" w:sz="0" w:space="0" w:color="auto"/>
            <w:right w:val="none" w:sz="0" w:space="0" w:color="auto"/>
          </w:divBdr>
        </w:div>
      </w:divsChild>
    </w:div>
    <w:div w:id="164244723">
      <w:bodyDiv w:val="1"/>
      <w:marLeft w:val="0"/>
      <w:marRight w:val="0"/>
      <w:marTop w:val="0"/>
      <w:marBottom w:val="0"/>
      <w:divBdr>
        <w:top w:val="none" w:sz="0" w:space="0" w:color="auto"/>
        <w:left w:val="none" w:sz="0" w:space="0" w:color="auto"/>
        <w:bottom w:val="none" w:sz="0" w:space="0" w:color="auto"/>
        <w:right w:val="none" w:sz="0" w:space="0" w:color="auto"/>
      </w:divBdr>
      <w:divsChild>
        <w:div w:id="1156720577">
          <w:marLeft w:val="0"/>
          <w:marRight w:val="0"/>
          <w:marTop w:val="0"/>
          <w:marBottom w:val="0"/>
          <w:divBdr>
            <w:top w:val="none" w:sz="0" w:space="0" w:color="auto"/>
            <w:left w:val="none" w:sz="0" w:space="0" w:color="auto"/>
            <w:bottom w:val="none" w:sz="0" w:space="0" w:color="auto"/>
            <w:right w:val="none" w:sz="0" w:space="0" w:color="auto"/>
          </w:divBdr>
        </w:div>
        <w:div w:id="683216323">
          <w:marLeft w:val="0"/>
          <w:marRight w:val="0"/>
          <w:marTop w:val="0"/>
          <w:marBottom w:val="0"/>
          <w:divBdr>
            <w:top w:val="none" w:sz="0" w:space="0" w:color="auto"/>
            <w:left w:val="none" w:sz="0" w:space="0" w:color="auto"/>
            <w:bottom w:val="none" w:sz="0" w:space="0" w:color="auto"/>
            <w:right w:val="none" w:sz="0" w:space="0" w:color="auto"/>
          </w:divBdr>
        </w:div>
        <w:div w:id="49809799">
          <w:marLeft w:val="0"/>
          <w:marRight w:val="0"/>
          <w:marTop w:val="0"/>
          <w:marBottom w:val="0"/>
          <w:divBdr>
            <w:top w:val="none" w:sz="0" w:space="0" w:color="auto"/>
            <w:left w:val="none" w:sz="0" w:space="0" w:color="auto"/>
            <w:bottom w:val="none" w:sz="0" w:space="0" w:color="auto"/>
            <w:right w:val="none" w:sz="0" w:space="0" w:color="auto"/>
          </w:divBdr>
        </w:div>
      </w:divsChild>
    </w:div>
    <w:div w:id="297035980">
      <w:bodyDiv w:val="1"/>
      <w:marLeft w:val="0"/>
      <w:marRight w:val="0"/>
      <w:marTop w:val="0"/>
      <w:marBottom w:val="0"/>
      <w:divBdr>
        <w:top w:val="none" w:sz="0" w:space="0" w:color="auto"/>
        <w:left w:val="none" w:sz="0" w:space="0" w:color="auto"/>
        <w:bottom w:val="none" w:sz="0" w:space="0" w:color="auto"/>
        <w:right w:val="none" w:sz="0" w:space="0" w:color="auto"/>
      </w:divBdr>
      <w:divsChild>
        <w:div w:id="159123498">
          <w:marLeft w:val="0"/>
          <w:marRight w:val="0"/>
          <w:marTop w:val="0"/>
          <w:marBottom w:val="0"/>
          <w:divBdr>
            <w:top w:val="none" w:sz="0" w:space="0" w:color="auto"/>
            <w:left w:val="none" w:sz="0" w:space="0" w:color="auto"/>
            <w:bottom w:val="none" w:sz="0" w:space="0" w:color="auto"/>
            <w:right w:val="none" w:sz="0" w:space="0" w:color="auto"/>
          </w:divBdr>
        </w:div>
        <w:div w:id="1295525522">
          <w:marLeft w:val="0"/>
          <w:marRight w:val="0"/>
          <w:marTop w:val="0"/>
          <w:marBottom w:val="0"/>
          <w:divBdr>
            <w:top w:val="none" w:sz="0" w:space="0" w:color="auto"/>
            <w:left w:val="none" w:sz="0" w:space="0" w:color="auto"/>
            <w:bottom w:val="none" w:sz="0" w:space="0" w:color="auto"/>
            <w:right w:val="none" w:sz="0" w:space="0" w:color="auto"/>
          </w:divBdr>
        </w:div>
        <w:div w:id="817067676">
          <w:marLeft w:val="0"/>
          <w:marRight w:val="0"/>
          <w:marTop w:val="0"/>
          <w:marBottom w:val="0"/>
          <w:divBdr>
            <w:top w:val="none" w:sz="0" w:space="0" w:color="auto"/>
            <w:left w:val="none" w:sz="0" w:space="0" w:color="auto"/>
            <w:bottom w:val="none" w:sz="0" w:space="0" w:color="auto"/>
            <w:right w:val="none" w:sz="0" w:space="0" w:color="auto"/>
          </w:divBdr>
        </w:div>
        <w:div w:id="1813326137">
          <w:marLeft w:val="0"/>
          <w:marRight w:val="0"/>
          <w:marTop w:val="0"/>
          <w:marBottom w:val="0"/>
          <w:divBdr>
            <w:top w:val="none" w:sz="0" w:space="0" w:color="auto"/>
            <w:left w:val="none" w:sz="0" w:space="0" w:color="auto"/>
            <w:bottom w:val="none" w:sz="0" w:space="0" w:color="auto"/>
            <w:right w:val="none" w:sz="0" w:space="0" w:color="auto"/>
          </w:divBdr>
        </w:div>
      </w:divsChild>
    </w:div>
    <w:div w:id="394593987">
      <w:bodyDiv w:val="1"/>
      <w:marLeft w:val="0"/>
      <w:marRight w:val="0"/>
      <w:marTop w:val="0"/>
      <w:marBottom w:val="0"/>
      <w:divBdr>
        <w:top w:val="none" w:sz="0" w:space="0" w:color="auto"/>
        <w:left w:val="none" w:sz="0" w:space="0" w:color="auto"/>
        <w:bottom w:val="none" w:sz="0" w:space="0" w:color="auto"/>
        <w:right w:val="none" w:sz="0" w:space="0" w:color="auto"/>
      </w:divBdr>
      <w:divsChild>
        <w:div w:id="35857895">
          <w:marLeft w:val="0"/>
          <w:marRight w:val="0"/>
          <w:marTop w:val="0"/>
          <w:marBottom w:val="0"/>
          <w:divBdr>
            <w:top w:val="none" w:sz="0" w:space="0" w:color="auto"/>
            <w:left w:val="none" w:sz="0" w:space="0" w:color="auto"/>
            <w:bottom w:val="none" w:sz="0" w:space="0" w:color="auto"/>
            <w:right w:val="none" w:sz="0" w:space="0" w:color="auto"/>
          </w:divBdr>
          <w:divsChild>
            <w:div w:id="1400446735">
              <w:marLeft w:val="0"/>
              <w:marRight w:val="0"/>
              <w:marTop w:val="0"/>
              <w:marBottom w:val="0"/>
              <w:divBdr>
                <w:top w:val="none" w:sz="0" w:space="0" w:color="auto"/>
                <w:left w:val="none" w:sz="0" w:space="0" w:color="auto"/>
                <w:bottom w:val="none" w:sz="0" w:space="0" w:color="auto"/>
                <w:right w:val="none" w:sz="0" w:space="0" w:color="auto"/>
              </w:divBdr>
              <w:divsChild>
                <w:div w:id="1704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5288">
      <w:bodyDiv w:val="1"/>
      <w:marLeft w:val="0"/>
      <w:marRight w:val="0"/>
      <w:marTop w:val="0"/>
      <w:marBottom w:val="0"/>
      <w:divBdr>
        <w:top w:val="none" w:sz="0" w:space="0" w:color="auto"/>
        <w:left w:val="none" w:sz="0" w:space="0" w:color="auto"/>
        <w:bottom w:val="none" w:sz="0" w:space="0" w:color="auto"/>
        <w:right w:val="none" w:sz="0" w:space="0" w:color="auto"/>
      </w:divBdr>
      <w:divsChild>
        <w:div w:id="1331832431">
          <w:marLeft w:val="0"/>
          <w:marRight w:val="0"/>
          <w:marTop w:val="0"/>
          <w:marBottom w:val="0"/>
          <w:divBdr>
            <w:top w:val="none" w:sz="0" w:space="0" w:color="auto"/>
            <w:left w:val="none" w:sz="0" w:space="0" w:color="auto"/>
            <w:bottom w:val="none" w:sz="0" w:space="0" w:color="auto"/>
            <w:right w:val="none" w:sz="0" w:space="0" w:color="auto"/>
          </w:divBdr>
        </w:div>
        <w:div w:id="2075882888">
          <w:marLeft w:val="0"/>
          <w:marRight w:val="0"/>
          <w:marTop w:val="0"/>
          <w:marBottom w:val="0"/>
          <w:divBdr>
            <w:top w:val="none" w:sz="0" w:space="0" w:color="auto"/>
            <w:left w:val="none" w:sz="0" w:space="0" w:color="auto"/>
            <w:bottom w:val="none" w:sz="0" w:space="0" w:color="auto"/>
            <w:right w:val="none" w:sz="0" w:space="0" w:color="auto"/>
          </w:divBdr>
        </w:div>
        <w:div w:id="221063913">
          <w:marLeft w:val="0"/>
          <w:marRight w:val="0"/>
          <w:marTop w:val="0"/>
          <w:marBottom w:val="0"/>
          <w:divBdr>
            <w:top w:val="none" w:sz="0" w:space="0" w:color="auto"/>
            <w:left w:val="none" w:sz="0" w:space="0" w:color="auto"/>
            <w:bottom w:val="none" w:sz="0" w:space="0" w:color="auto"/>
            <w:right w:val="none" w:sz="0" w:space="0" w:color="auto"/>
          </w:divBdr>
        </w:div>
        <w:div w:id="948776477">
          <w:marLeft w:val="0"/>
          <w:marRight w:val="0"/>
          <w:marTop w:val="0"/>
          <w:marBottom w:val="0"/>
          <w:divBdr>
            <w:top w:val="none" w:sz="0" w:space="0" w:color="auto"/>
            <w:left w:val="none" w:sz="0" w:space="0" w:color="auto"/>
            <w:bottom w:val="none" w:sz="0" w:space="0" w:color="auto"/>
            <w:right w:val="none" w:sz="0" w:space="0" w:color="auto"/>
          </w:divBdr>
        </w:div>
        <w:div w:id="542711204">
          <w:marLeft w:val="0"/>
          <w:marRight w:val="0"/>
          <w:marTop w:val="0"/>
          <w:marBottom w:val="0"/>
          <w:divBdr>
            <w:top w:val="none" w:sz="0" w:space="0" w:color="auto"/>
            <w:left w:val="none" w:sz="0" w:space="0" w:color="auto"/>
            <w:bottom w:val="none" w:sz="0" w:space="0" w:color="auto"/>
            <w:right w:val="none" w:sz="0" w:space="0" w:color="auto"/>
          </w:divBdr>
        </w:div>
      </w:divsChild>
    </w:div>
    <w:div w:id="604273014">
      <w:bodyDiv w:val="1"/>
      <w:marLeft w:val="0"/>
      <w:marRight w:val="0"/>
      <w:marTop w:val="0"/>
      <w:marBottom w:val="0"/>
      <w:divBdr>
        <w:top w:val="none" w:sz="0" w:space="0" w:color="auto"/>
        <w:left w:val="none" w:sz="0" w:space="0" w:color="auto"/>
        <w:bottom w:val="none" w:sz="0" w:space="0" w:color="auto"/>
        <w:right w:val="none" w:sz="0" w:space="0" w:color="auto"/>
      </w:divBdr>
      <w:divsChild>
        <w:div w:id="963728921">
          <w:marLeft w:val="0"/>
          <w:marRight w:val="0"/>
          <w:marTop w:val="0"/>
          <w:marBottom w:val="0"/>
          <w:divBdr>
            <w:top w:val="none" w:sz="0" w:space="0" w:color="auto"/>
            <w:left w:val="none" w:sz="0" w:space="0" w:color="auto"/>
            <w:bottom w:val="none" w:sz="0" w:space="0" w:color="auto"/>
            <w:right w:val="none" w:sz="0" w:space="0" w:color="auto"/>
          </w:divBdr>
        </w:div>
        <w:div w:id="773785385">
          <w:marLeft w:val="0"/>
          <w:marRight w:val="0"/>
          <w:marTop w:val="0"/>
          <w:marBottom w:val="0"/>
          <w:divBdr>
            <w:top w:val="none" w:sz="0" w:space="0" w:color="auto"/>
            <w:left w:val="none" w:sz="0" w:space="0" w:color="auto"/>
            <w:bottom w:val="none" w:sz="0" w:space="0" w:color="auto"/>
            <w:right w:val="none" w:sz="0" w:space="0" w:color="auto"/>
          </w:divBdr>
        </w:div>
        <w:div w:id="1001390156">
          <w:marLeft w:val="0"/>
          <w:marRight w:val="0"/>
          <w:marTop w:val="0"/>
          <w:marBottom w:val="0"/>
          <w:divBdr>
            <w:top w:val="none" w:sz="0" w:space="0" w:color="auto"/>
            <w:left w:val="none" w:sz="0" w:space="0" w:color="auto"/>
            <w:bottom w:val="none" w:sz="0" w:space="0" w:color="auto"/>
            <w:right w:val="none" w:sz="0" w:space="0" w:color="auto"/>
          </w:divBdr>
        </w:div>
        <w:div w:id="1785078800">
          <w:marLeft w:val="0"/>
          <w:marRight w:val="0"/>
          <w:marTop w:val="0"/>
          <w:marBottom w:val="0"/>
          <w:divBdr>
            <w:top w:val="none" w:sz="0" w:space="0" w:color="auto"/>
            <w:left w:val="none" w:sz="0" w:space="0" w:color="auto"/>
            <w:bottom w:val="none" w:sz="0" w:space="0" w:color="auto"/>
            <w:right w:val="none" w:sz="0" w:space="0" w:color="auto"/>
          </w:divBdr>
        </w:div>
        <w:div w:id="2135829710">
          <w:marLeft w:val="0"/>
          <w:marRight w:val="0"/>
          <w:marTop w:val="0"/>
          <w:marBottom w:val="0"/>
          <w:divBdr>
            <w:top w:val="none" w:sz="0" w:space="0" w:color="auto"/>
            <w:left w:val="none" w:sz="0" w:space="0" w:color="auto"/>
            <w:bottom w:val="none" w:sz="0" w:space="0" w:color="auto"/>
            <w:right w:val="none" w:sz="0" w:space="0" w:color="auto"/>
          </w:divBdr>
        </w:div>
        <w:div w:id="2105029415">
          <w:marLeft w:val="0"/>
          <w:marRight w:val="0"/>
          <w:marTop w:val="0"/>
          <w:marBottom w:val="0"/>
          <w:divBdr>
            <w:top w:val="none" w:sz="0" w:space="0" w:color="auto"/>
            <w:left w:val="none" w:sz="0" w:space="0" w:color="auto"/>
            <w:bottom w:val="none" w:sz="0" w:space="0" w:color="auto"/>
            <w:right w:val="none" w:sz="0" w:space="0" w:color="auto"/>
          </w:divBdr>
        </w:div>
        <w:div w:id="153036200">
          <w:marLeft w:val="0"/>
          <w:marRight w:val="0"/>
          <w:marTop w:val="0"/>
          <w:marBottom w:val="0"/>
          <w:divBdr>
            <w:top w:val="none" w:sz="0" w:space="0" w:color="auto"/>
            <w:left w:val="none" w:sz="0" w:space="0" w:color="auto"/>
            <w:bottom w:val="none" w:sz="0" w:space="0" w:color="auto"/>
            <w:right w:val="none" w:sz="0" w:space="0" w:color="auto"/>
          </w:divBdr>
        </w:div>
        <w:div w:id="626590800">
          <w:marLeft w:val="0"/>
          <w:marRight w:val="0"/>
          <w:marTop w:val="0"/>
          <w:marBottom w:val="0"/>
          <w:divBdr>
            <w:top w:val="none" w:sz="0" w:space="0" w:color="auto"/>
            <w:left w:val="none" w:sz="0" w:space="0" w:color="auto"/>
            <w:bottom w:val="none" w:sz="0" w:space="0" w:color="auto"/>
            <w:right w:val="none" w:sz="0" w:space="0" w:color="auto"/>
          </w:divBdr>
        </w:div>
        <w:div w:id="2070497559">
          <w:marLeft w:val="0"/>
          <w:marRight w:val="0"/>
          <w:marTop w:val="0"/>
          <w:marBottom w:val="0"/>
          <w:divBdr>
            <w:top w:val="none" w:sz="0" w:space="0" w:color="auto"/>
            <w:left w:val="none" w:sz="0" w:space="0" w:color="auto"/>
            <w:bottom w:val="none" w:sz="0" w:space="0" w:color="auto"/>
            <w:right w:val="none" w:sz="0" w:space="0" w:color="auto"/>
          </w:divBdr>
        </w:div>
      </w:divsChild>
    </w:div>
    <w:div w:id="629242094">
      <w:bodyDiv w:val="1"/>
      <w:marLeft w:val="0"/>
      <w:marRight w:val="0"/>
      <w:marTop w:val="0"/>
      <w:marBottom w:val="0"/>
      <w:divBdr>
        <w:top w:val="none" w:sz="0" w:space="0" w:color="auto"/>
        <w:left w:val="none" w:sz="0" w:space="0" w:color="auto"/>
        <w:bottom w:val="none" w:sz="0" w:space="0" w:color="auto"/>
        <w:right w:val="none" w:sz="0" w:space="0" w:color="auto"/>
      </w:divBdr>
      <w:divsChild>
        <w:div w:id="342782765">
          <w:marLeft w:val="0"/>
          <w:marRight w:val="0"/>
          <w:marTop w:val="0"/>
          <w:marBottom w:val="0"/>
          <w:divBdr>
            <w:top w:val="none" w:sz="0" w:space="0" w:color="auto"/>
            <w:left w:val="none" w:sz="0" w:space="0" w:color="auto"/>
            <w:bottom w:val="none" w:sz="0" w:space="0" w:color="auto"/>
            <w:right w:val="none" w:sz="0" w:space="0" w:color="auto"/>
          </w:divBdr>
        </w:div>
      </w:divsChild>
    </w:div>
    <w:div w:id="846868662">
      <w:bodyDiv w:val="1"/>
      <w:marLeft w:val="0"/>
      <w:marRight w:val="0"/>
      <w:marTop w:val="0"/>
      <w:marBottom w:val="0"/>
      <w:divBdr>
        <w:top w:val="none" w:sz="0" w:space="0" w:color="auto"/>
        <w:left w:val="none" w:sz="0" w:space="0" w:color="auto"/>
        <w:bottom w:val="none" w:sz="0" w:space="0" w:color="auto"/>
        <w:right w:val="none" w:sz="0" w:space="0" w:color="auto"/>
      </w:divBdr>
      <w:divsChild>
        <w:div w:id="1138299810">
          <w:marLeft w:val="0"/>
          <w:marRight w:val="0"/>
          <w:marTop w:val="0"/>
          <w:marBottom w:val="0"/>
          <w:divBdr>
            <w:top w:val="none" w:sz="0" w:space="0" w:color="auto"/>
            <w:left w:val="none" w:sz="0" w:space="0" w:color="auto"/>
            <w:bottom w:val="none" w:sz="0" w:space="0" w:color="auto"/>
            <w:right w:val="none" w:sz="0" w:space="0" w:color="auto"/>
          </w:divBdr>
        </w:div>
      </w:divsChild>
    </w:div>
    <w:div w:id="857818681">
      <w:bodyDiv w:val="1"/>
      <w:marLeft w:val="0"/>
      <w:marRight w:val="0"/>
      <w:marTop w:val="0"/>
      <w:marBottom w:val="0"/>
      <w:divBdr>
        <w:top w:val="none" w:sz="0" w:space="0" w:color="auto"/>
        <w:left w:val="none" w:sz="0" w:space="0" w:color="auto"/>
        <w:bottom w:val="none" w:sz="0" w:space="0" w:color="auto"/>
        <w:right w:val="none" w:sz="0" w:space="0" w:color="auto"/>
      </w:divBdr>
      <w:divsChild>
        <w:div w:id="504780943">
          <w:marLeft w:val="0"/>
          <w:marRight w:val="0"/>
          <w:marTop w:val="0"/>
          <w:marBottom w:val="0"/>
          <w:divBdr>
            <w:top w:val="none" w:sz="0" w:space="0" w:color="auto"/>
            <w:left w:val="none" w:sz="0" w:space="0" w:color="auto"/>
            <w:bottom w:val="none" w:sz="0" w:space="0" w:color="auto"/>
            <w:right w:val="none" w:sz="0" w:space="0" w:color="auto"/>
          </w:divBdr>
        </w:div>
        <w:div w:id="175924079">
          <w:marLeft w:val="0"/>
          <w:marRight w:val="0"/>
          <w:marTop w:val="0"/>
          <w:marBottom w:val="0"/>
          <w:divBdr>
            <w:top w:val="none" w:sz="0" w:space="0" w:color="auto"/>
            <w:left w:val="none" w:sz="0" w:space="0" w:color="auto"/>
            <w:bottom w:val="none" w:sz="0" w:space="0" w:color="auto"/>
            <w:right w:val="none" w:sz="0" w:space="0" w:color="auto"/>
          </w:divBdr>
        </w:div>
        <w:div w:id="1033926380">
          <w:marLeft w:val="0"/>
          <w:marRight w:val="0"/>
          <w:marTop w:val="0"/>
          <w:marBottom w:val="0"/>
          <w:divBdr>
            <w:top w:val="none" w:sz="0" w:space="0" w:color="auto"/>
            <w:left w:val="none" w:sz="0" w:space="0" w:color="auto"/>
            <w:bottom w:val="none" w:sz="0" w:space="0" w:color="auto"/>
            <w:right w:val="none" w:sz="0" w:space="0" w:color="auto"/>
          </w:divBdr>
        </w:div>
        <w:div w:id="1956523793">
          <w:marLeft w:val="0"/>
          <w:marRight w:val="0"/>
          <w:marTop w:val="0"/>
          <w:marBottom w:val="0"/>
          <w:divBdr>
            <w:top w:val="none" w:sz="0" w:space="0" w:color="auto"/>
            <w:left w:val="none" w:sz="0" w:space="0" w:color="auto"/>
            <w:bottom w:val="none" w:sz="0" w:space="0" w:color="auto"/>
            <w:right w:val="none" w:sz="0" w:space="0" w:color="auto"/>
          </w:divBdr>
        </w:div>
      </w:divsChild>
    </w:div>
    <w:div w:id="1001197041">
      <w:bodyDiv w:val="1"/>
      <w:marLeft w:val="0"/>
      <w:marRight w:val="0"/>
      <w:marTop w:val="0"/>
      <w:marBottom w:val="0"/>
      <w:divBdr>
        <w:top w:val="none" w:sz="0" w:space="0" w:color="auto"/>
        <w:left w:val="none" w:sz="0" w:space="0" w:color="auto"/>
        <w:bottom w:val="none" w:sz="0" w:space="0" w:color="auto"/>
        <w:right w:val="none" w:sz="0" w:space="0" w:color="auto"/>
      </w:divBdr>
      <w:divsChild>
        <w:div w:id="1922368474">
          <w:marLeft w:val="0"/>
          <w:marRight w:val="0"/>
          <w:marTop w:val="0"/>
          <w:marBottom w:val="0"/>
          <w:divBdr>
            <w:top w:val="none" w:sz="0" w:space="0" w:color="auto"/>
            <w:left w:val="none" w:sz="0" w:space="0" w:color="auto"/>
            <w:bottom w:val="none" w:sz="0" w:space="0" w:color="auto"/>
            <w:right w:val="none" w:sz="0" w:space="0" w:color="auto"/>
          </w:divBdr>
          <w:divsChild>
            <w:div w:id="1587350168">
              <w:marLeft w:val="0"/>
              <w:marRight w:val="0"/>
              <w:marTop w:val="0"/>
              <w:marBottom w:val="0"/>
              <w:divBdr>
                <w:top w:val="none" w:sz="0" w:space="0" w:color="auto"/>
                <w:left w:val="none" w:sz="0" w:space="0" w:color="auto"/>
                <w:bottom w:val="none" w:sz="0" w:space="0" w:color="auto"/>
                <w:right w:val="none" w:sz="0" w:space="0" w:color="auto"/>
              </w:divBdr>
              <w:divsChild>
                <w:div w:id="14631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4258">
      <w:bodyDiv w:val="1"/>
      <w:marLeft w:val="0"/>
      <w:marRight w:val="0"/>
      <w:marTop w:val="0"/>
      <w:marBottom w:val="0"/>
      <w:divBdr>
        <w:top w:val="none" w:sz="0" w:space="0" w:color="auto"/>
        <w:left w:val="none" w:sz="0" w:space="0" w:color="auto"/>
        <w:bottom w:val="none" w:sz="0" w:space="0" w:color="auto"/>
        <w:right w:val="none" w:sz="0" w:space="0" w:color="auto"/>
      </w:divBdr>
      <w:divsChild>
        <w:div w:id="234049923">
          <w:marLeft w:val="0"/>
          <w:marRight w:val="0"/>
          <w:marTop w:val="0"/>
          <w:marBottom w:val="0"/>
          <w:divBdr>
            <w:top w:val="none" w:sz="0" w:space="0" w:color="auto"/>
            <w:left w:val="none" w:sz="0" w:space="0" w:color="auto"/>
            <w:bottom w:val="none" w:sz="0" w:space="0" w:color="auto"/>
            <w:right w:val="none" w:sz="0" w:space="0" w:color="auto"/>
          </w:divBdr>
          <w:divsChild>
            <w:div w:id="316152734">
              <w:marLeft w:val="0"/>
              <w:marRight w:val="0"/>
              <w:marTop w:val="0"/>
              <w:marBottom w:val="0"/>
              <w:divBdr>
                <w:top w:val="none" w:sz="0" w:space="0" w:color="auto"/>
                <w:left w:val="none" w:sz="0" w:space="0" w:color="auto"/>
                <w:bottom w:val="none" w:sz="0" w:space="0" w:color="auto"/>
                <w:right w:val="none" w:sz="0" w:space="0" w:color="auto"/>
              </w:divBdr>
              <w:divsChild>
                <w:div w:id="1357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2015">
      <w:bodyDiv w:val="1"/>
      <w:marLeft w:val="0"/>
      <w:marRight w:val="0"/>
      <w:marTop w:val="0"/>
      <w:marBottom w:val="0"/>
      <w:divBdr>
        <w:top w:val="none" w:sz="0" w:space="0" w:color="auto"/>
        <w:left w:val="none" w:sz="0" w:space="0" w:color="auto"/>
        <w:bottom w:val="none" w:sz="0" w:space="0" w:color="auto"/>
        <w:right w:val="none" w:sz="0" w:space="0" w:color="auto"/>
      </w:divBdr>
      <w:divsChild>
        <w:div w:id="115488923">
          <w:marLeft w:val="0"/>
          <w:marRight w:val="0"/>
          <w:marTop w:val="0"/>
          <w:marBottom w:val="0"/>
          <w:divBdr>
            <w:top w:val="none" w:sz="0" w:space="0" w:color="auto"/>
            <w:left w:val="none" w:sz="0" w:space="0" w:color="auto"/>
            <w:bottom w:val="none" w:sz="0" w:space="0" w:color="auto"/>
            <w:right w:val="none" w:sz="0" w:space="0" w:color="auto"/>
          </w:divBdr>
        </w:div>
        <w:div w:id="1022318126">
          <w:marLeft w:val="0"/>
          <w:marRight w:val="0"/>
          <w:marTop w:val="0"/>
          <w:marBottom w:val="0"/>
          <w:divBdr>
            <w:top w:val="none" w:sz="0" w:space="0" w:color="auto"/>
            <w:left w:val="none" w:sz="0" w:space="0" w:color="auto"/>
            <w:bottom w:val="none" w:sz="0" w:space="0" w:color="auto"/>
            <w:right w:val="none" w:sz="0" w:space="0" w:color="auto"/>
          </w:divBdr>
        </w:div>
      </w:divsChild>
    </w:div>
    <w:div w:id="1361203760">
      <w:bodyDiv w:val="1"/>
      <w:marLeft w:val="0"/>
      <w:marRight w:val="0"/>
      <w:marTop w:val="0"/>
      <w:marBottom w:val="0"/>
      <w:divBdr>
        <w:top w:val="none" w:sz="0" w:space="0" w:color="auto"/>
        <w:left w:val="none" w:sz="0" w:space="0" w:color="auto"/>
        <w:bottom w:val="none" w:sz="0" w:space="0" w:color="auto"/>
        <w:right w:val="none" w:sz="0" w:space="0" w:color="auto"/>
      </w:divBdr>
      <w:divsChild>
        <w:div w:id="123738396">
          <w:marLeft w:val="0"/>
          <w:marRight w:val="0"/>
          <w:marTop w:val="0"/>
          <w:marBottom w:val="0"/>
          <w:divBdr>
            <w:top w:val="none" w:sz="0" w:space="0" w:color="auto"/>
            <w:left w:val="none" w:sz="0" w:space="0" w:color="auto"/>
            <w:bottom w:val="none" w:sz="0" w:space="0" w:color="auto"/>
            <w:right w:val="none" w:sz="0" w:space="0" w:color="auto"/>
          </w:divBdr>
          <w:divsChild>
            <w:div w:id="1900675846">
              <w:marLeft w:val="0"/>
              <w:marRight w:val="0"/>
              <w:marTop w:val="0"/>
              <w:marBottom w:val="0"/>
              <w:divBdr>
                <w:top w:val="none" w:sz="0" w:space="0" w:color="auto"/>
                <w:left w:val="none" w:sz="0" w:space="0" w:color="auto"/>
                <w:bottom w:val="none" w:sz="0" w:space="0" w:color="auto"/>
                <w:right w:val="none" w:sz="0" w:space="0" w:color="auto"/>
              </w:divBdr>
              <w:divsChild>
                <w:div w:id="8433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45084">
      <w:bodyDiv w:val="1"/>
      <w:marLeft w:val="0"/>
      <w:marRight w:val="0"/>
      <w:marTop w:val="0"/>
      <w:marBottom w:val="0"/>
      <w:divBdr>
        <w:top w:val="none" w:sz="0" w:space="0" w:color="auto"/>
        <w:left w:val="none" w:sz="0" w:space="0" w:color="auto"/>
        <w:bottom w:val="none" w:sz="0" w:space="0" w:color="auto"/>
        <w:right w:val="none" w:sz="0" w:space="0" w:color="auto"/>
      </w:divBdr>
      <w:divsChild>
        <w:div w:id="188879092">
          <w:marLeft w:val="0"/>
          <w:marRight w:val="0"/>
          <w:marTop w:val="0"/>
          <w:marBottom w:val="0"/>
          <w:divBdr>
            <w:top w:val="none" w:sz="0" w:space="0" w:color="auto"/>
            <w:left w:val="none" w:sz="0" w:space="0" w:color="auto"/>
            <w:bottom w:val="none" w:sz="0" w:space="0" w:color="auto"/>
            <w:right w:val="none" w:sz="0" w:space="0" w:color="auto"/>
          </w:divBdr>
        </w:div>
        <w:div w:id="1640724183">
          <w:marLeft w:val="0"/>
          <w:marRight w:val="0"/>
          <w:marTop w:val="0"/>
          <w:marBottom w:val="0"/>
          <w:divBdr>
            <w:top w:val="none" w:sz="0" w:space="0" w:color="auto"/>
            <w:left w:val="none" w:sz="0" w:space="0" w:color="auto"/>
            <w:bottom w:val="none" w:sz="0" w:space="0" w:color="auto"/>
            <w:right w:val="none" w:sz="0" w:space="0" w:color="auto"/>
          </w:divBdr>
        </w:div>
        <w:div w:id="1011494676">
          <w:marLeft w:val="0"/>
          <w:marRight w:val="0"/>
          <w:marTop w:val="0"/>
          <w:marBottom w:val="0"/>
          <w:divBdr>
            <w:top w:val="none" w:sz="0" w:space="0" w:color="auto"/>
            <w:left w:val="none" w:sz="0" w:space="0" w:color="auto"/>
            <w:bottom w:val="none" w:sz="0" w:space="0" w:color="auto"/>
            <w:right w:val="none" w:sz="0" w:space="0" w:color="auto"/>
          </w:divBdr>
        </w:div>
        <w:div w:id="560871054">
          <w:marLeft w:val="0"/>
          <w:marRight w:val="0"/>
          <w:marTop w:val="0"/>
          <w:marBottom w:val="0"/>
          <w:divBdr>
            <w:top w:val="none" w:sz="0" w:space="0" w:color="auto"/>
            <w:left w:val="none" w:sz="0" w:space="0" w:color="auto"/>
            <w:bottom w:val="none" w:sz="0" w:space="0" w:color="auto"/>
            <w:right w:val="none" w:sz="0" w:space="0" w:color="auto"/>
          </w:divBdr>
        </w:div>
        <w:div w:id="260064486">
          <w:marLeft w:val="0"/>
          <w:marRight w:val="0"/>
          <w:marTop w:val="0"/>
          <w:marBottom w:val="0"/>
          <w:divBdr>
            <w:top w:val="none" w:sz="0" w:space="0" w:color="auto"/>
            <w:left w:val="none" w:sz="0" w:space="0" w:color="auto"/>
            <w:bottom w:val="none" w:sz="0" w:space="0" w:color="auto"/>
            <w:right w:val="none" w:sz="0" w:space="0" w:color="auto"/>
          </w:divBdr>
        </w:div>
        <w:div w:id="991562118">
          <w:marLeft w:val="0"/>
          <w:marRight w:val="0"/>
          <w:marTop w:val="0"/>
          <w:marBottom w:val="0"/>
          <w:divBdr>
            <w:top w:val="none" w:sz="0" w:space="0" w:color="auto"/>
            <w:left w:val="none" w:sz="0" w:space="0" w:color="auto"/>
            <w:bottom w:val="none" w:sz="0" w:space="0" w:color="auto"/>
            <w:right w:val="none" w:sz="0" w:space="0" w:color="auto"/>
          </w:divBdr>
        </w:div>
      </w:divsChild>
    </w:div>
    <w:div w:id="1472409044">
      <w:bodyDiv w:val="1"/>
      <w:marLeft w:val="0"/>
      <w:marRight w:val="0"/>
      <w:marTop w:val="0"/>
      <w:marBottom w:val="0"/>
      <w:divBdr>
        <w:top w:val="none" w:sz="0" w:space="0" w:color="auto"/>
        <w:left w:val="none" w:sz="0" w:space="0" w:color="auto"/>
        <w:bottom w:val="none" w:sz="0" w:space="0" w:color="auto"/>
        <w:right w:val="none" w:sz="0" w:space="0" w:color="auto"/>
      </w:divBdr>
      <w:divsChild>
        <w:div w:id="598756159">
          <w:marLeft w:val="0"/>
          <w:marRight w:val="0"/>
          <w:marTop w:val="0"/>
          <w:marBottom w:val="0"/>
          <w:divBdr>
            <w:top w:val="none" w:sz="0" w:space="0" w:color="auto"/>
            <w:left w:val="none" w:sz="0" w:space="0" w:color="auto"/>
            <w:bottom w:val="none" w:sz="0" w:space="0" w:color="auto"/>
            <w:right w:val="none" w:sz="0" w:space="0" w:color="auto"/>
          </w:divBdr>
          <w:divsChild>
            <w:div w:id="42797641">
              <w:marLeft w:val="0"/>
              <w:marRight w:val="0"/>
              <w:marTop w:val="0"/>
              <w:marBottom w:val="0"/>
              <w:divBdr>
                <w:top w:val="none" w:sz="0" w:space="0" w:color="auto"/>
                <w:left w:val="none" w:sz="0" w:space="0" w:color="auto"/>
                <w:bottom w:val="none" w:sz="0" w:space="0" w:color="auto"/>
                <w:right w:val="none" w:sz="0" w:space="0" w:color="auto"/>
              </w:divBdr>
              <w:divsChild>
                <w:div w:id="21043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0532">
      <w:bodyDiv w:val="1"/>
      <w:marLeft w:val="0"/>
      <w:marRight w:val="0"/>
      <w:marTop w:val="0"/>
      <w:marBottom w:val="0"/>
      <w:divBdr>
        <w:top w:val="none" w:sz="0" w:space="0" w:color="auto"/>
        <w:left w:val="none" w:sz="0" w:space="0" w:color="auto"/>
        <w:bottom w:val="none" w:sz="0" w:space="0" w:color="auto"/>
        <w:right w:val="none" w:sz="0" w:space="0" w:color="auto"/>
      </w:divBdr>
    </w:div>
    <w:div w:id="1694916053">
      <w:bodyDiv w:val="1"/>
      <w:marLeft w:val="0"/>
      <w:marRight w:val="0"/>
      <w:marTop w:val="0"/>
      <w:marBottom w:val="0"/>
      <w:divBdr>
        <w:top w:val="none" w:sz="0" w:space="0" w:color="auto"/>
        <w:left w:val="none" w:sz="0" w:space="0" w:color="auto"/>
        <w:bottom w:val="none" w:sz="0" w:space="0" w:color="auto"/>
        <w:right w:val="none" w:sz="0" w:space="0" w:color="auto"/>
      </w:divBdr>
      <w:divsChild>
        <w:div w:id="1030453316">
          <w:marLeft w:val="0"/>
          <w:marRight w:val="0"/>
          <w:marTop w:val="0"/>
          <w:marBottom w:val="0"/>
          <w:divBdr>
            <w:top w:val="none" w:sz="0" w:space="0" w:color="auto"/>
            <w:left w:val="none" w:sz="0" w:space="0" w:color="auto"/>
            <w:bottom w:val="none" w:sz="0" w:space="0" w:color="auto"/>
            <w:right w:val="none" w:sz="0" w:space="0" w:color="auto"/>
          </w:divBdr>
        </w:div>
        <w:div w:id="1648127439">
          <w:marLeft w:val="0"/>
          <w:marRight w:val="0"/>
          <w:marTop w:val="0"/>
          <w:marBottom w:val="0"/>
          <w:divBdr>
            <w:top w:val="none" w:sz="0" w:space="0" w:color="auto"/>
            <w:left w:val="none" w:sz="0" w:space="0" w:color="auto"/>
            <w:bottom w:val="none" w:sz="0" w:space="0" w:color="auto"/>
            <w:right w:val="none" w:sz="0" w:space="0" w:color="auto"/>
          </w:divBdr>
        </w:div>
        <w:div w:id="1280844709">
          <w:marLeft w:val="0"/>
          <w:marRight w:val="0"/>
          <w:marTop w:val="0"/>
          <w:marBottom w:val="0"/>
          <w:divBdr>
            <w:top w:val="none" w:sz="0" w:space="0" w:color="auto"/>
            <w:left w:val="none" w:sz="0" w:space="0" w:color="auto"/>
            <w:bottom w:val="none" w:sz="0" w:space="0" w:color="auto"/>
            <w:right w:val="none" w:sz="0" w:space="0" w:color="auto"/>
          </w:divBdr>
        </w:div>
        <w:div w:id="101926322">
          <w:marLeft w:val="0"/>
          <w:marRight w:val="0"/>
          <w:marTop w:val="0"/>
          <w:marBottom w:val="0"/>
          <w:divBdr>
            <w:top w:val="none" w:sz="0" w:space="0" w:color="auto"/>
            <w:left w:val="none" w:sz="0" w:space="0" w:color="auto"/>
            <w:bottom w:val="none" w:sz="0" w:space="0" w:color="auto"/>
            <w:right w:val="none" w:sz="0" w:space="0" w:color="auto"/>
          </w:divBdr>
        </w:div>
        <w:div w:id="1496529490">
          <w:marLeft w:val="0"/>
          <w:marRight w:val="0"/>
          <w:marTop w:val="0"/>
          <w:marBottom w:val="0"/>
          <w:divBdr>
            <w:top w:val="none" w:sz="0" w:space="0" w:color="auto"/>
            <w:left w:val="none" w:sz="0" w:space="0" w:color="auto"/>
            <w:bottom w:val="none" w:sz="0" w:space="0" w:color="auto"/>
            <w:right w:val="none" w:sz="0" w:space="0" w:color="auto"/>
          </w:divBdr>
        </w:div>
        <w:div w:id="1843428613">
          <w:marLeft w:val="0"/>
          <w:marRight w:val="0"/>
          <w:marTop w:val="0"/>
          <w:marBottom w:val="0"/>
          <w:divBdr>
            <w:top w:val="none" w:sz="0" w:space="0" w:color="auto"/>
            <w:left w:val="none" w:sz="0" w:space="0" w:color="auto"/>
            <w:bottom w:val="none" w:sz="0" w:space="0" w:color="auto"/>
            <w:right w:val="none" w:sz="0" w:space="0" w:color="auto"/>
          </w:divBdr>
        </w:div>
        <w:div w:id="1715081681">
          <w:marLeft w:val="0"/>
          <w:marRight w:val="0"/>
          <w:marTop w:val="0"/>
          <w:marBottom w:val="0"/>
          <w:divBdr>
            <w:top w:val="none" w:sz="0" w:space="0" w:color="auto"/>
            <w:left w:val="none" w:sz="0" w:space="0" w:color="auto"/>
            <w:bottom w:val="none" w:sz="0" w:space="0" w:color="auto"/>
            <w:right w:val="none" w:sz="0" w:space="0" w:color="auto"/>
          </w:divBdr>
        </w:div>
        <w:div w:id="115687383">
          <w:marLeft w:val="0"/>
          <w:marRight w:val="0"/>
          <w:marTop w:val="0"/>
          <w:marBottom w:val="0"/>
          <w:divBdr>
            <w:top w:val="none" w:sz="0" w:space="0" w:color="auto"/>
            <w:left w:val="none" w:sz="0" w:space="0" w:color="auto"/>
            <w:bottom w:val="none" w:sz="0" w:space="0" w:color="auto"/>
            <w:right w:val="none" w:sz="0" w:space="0" w:color="auto"/>
          </w:divBdr>
        </w:div>
        <w:div w:id="769201887">
          <w:marLeft w:val="0"/>
          <w:marRight w:val="0"/>
          <w:marTop w:val="0"/>
          <w:marBottom w:val="0"/>
          <w:divBdr>
            <w:top w:val="none" w:sz="0" w:space="0" w:color="auto"/>
            <w:left w:val="none" w:sz="0" w:space="0" w:color="auto"/>
            <w:bottom w:val="none" w:sz="0" w:space="0" w:color="auto"/>
            <w:right w:val="none" w:sz="0" w:space="0" w:color="auto"/>
          </w:divBdr>
        </w:div>
        <w:div w:id="1945764827">
          <w:marLeft w:val="0"/>
          <w:marRight w:val="0"/>
          <w:marTop w:val="0"/>
          <w:marBottom w:val="0"/>
          <w:divBdr>
            <w:top w:val="none" w:sz="0" w:space="0" w:color="auto"/>
            <w:left w:val="none" w:sz="0" w:space="0" w:color="auto"/>
            <w:bottom w:val="none" w:sz="0" w:space="0" w:color="auto"/>
            <w:right w:val="none" w:sz="0" w:space="0" w:color="auto"/>
          </w:divBdr>
        </w:div>
      </w:divsChild>
    </w:div>
    <w:div w:id="1749304092">
      <w:bodyDiv w:val="1"/>
      <w:marLeft w:val="0"/>
      <w:marRight w:val="0"/>
      <w:marTop w:val="0"/>
      <w:marBottom w:val="0"/>
      <w:divBdr>
        <w:top w:val="none" w:sz="0" w:space="0" w:color="auto"/>
        <w:left w:val="none" w:sz="0" w:space="0" w:color="auto"/>
        <w:bottom w:val="none" w:sz="0" w:space="0" w:color="auto"/>
        <w:right w:val="none" w:sz="0" w:space="0" w:color="auto"/>
      </w:divBdr>
      <w:divsChild>
        <w:div w:id="1291396258">
          <w:marLeft w:val="0"/>
          <w:marRight w:val="0"/>
          <w:marTop w:val="0"/>
          <w:marBottom w:val="0"/>
          <w:divBdr>
            <w:top w:val="none" w:sz="0" w:space="0" w:color="auto"/>
            <w:left w:val="none" w:sz="0" w:space="0" w:color="auto"/>
            <w:bottom w:val="none" w:sz="0" w:space="0" w:color="auto"/>
            <w:right w:val="none" w:sz="0" w:space="0" w:color="auto"/>
          </w:divBdr>
        </w:div>
        <w:div w:id="2116553114">
          <w:marLeft w:val="0"/>
          <w:marRight w:val="0"/>
          <w:marTop w:val="0"/>
          <w:marBottom w:val="0"/>
          <w:divBdr>
            <w:top w:val="none" w:sz="0" w:space="0" w:color="auto"/>
            <w:left w:val="none" w:sz="0" w:space="0" w:color="auto"/>
            <w:bottom w:val="none" w:sz="0" w:space="0" w:color="auto"/>
            <w:right w:val="none" w:sz="0" w:space="0" w:color="auto"/>
          </w:divBdr>
        </w:div>
      </w:divsChild>
    </w:div>
    <w:div w:id="1913655041">
      <w:bodyDiv w:val="1"/>
      <w:marLeft w:val="0"/>
      <w:marRight w:val="0"/>
      <w:marTop w:val="0"/>
      <w:marBottom w:val="0"/>
      <w:divBdr>
        <w:top w:val="none" w:sz="0" w:space="0" w:color="auto"/>
        <w:left w:val="none" w:sz="0" w:space="0" w:color="auto"/>
        <w:bottom w:val="none" w:sz="0" w:space="0" w:color="auto"/>
        <w:right w:val="none" w:sz="0" w:space="0" w:color="auto"/>
      </w:divBdr>
      <w:divsChild>
        <w:div w:id="1535776238">
          <w:marLeft w:val="0"/>
          <w:marRight w:val="0"/>
          <w:marTop w:val="0"/>
          <w:marBottom w:val="0"/>
          <w:divBdr>
            <w:top w:val="none" w:sz="0" w:space="0" w:color="auto"/>
            <w:left w:val="none" w:sz="0" w:space="0" w:color="auto"/>
            <w:bottom w:val="none" w:sz="0" w:space="0" w:color="auto"/>
            <w:right w:val="none" w:sz="0" w:space="0" w:color="auto"/>
          </w:divBdr>
        </w:div>
        <w:div w:id="1243950379">
          <w:marLeft w:val="0"/>
          <w:marRight w:val="0"/>
          <w:marTop w:val="0"/>
          <w:marBottom w:val="0"/>
          <w:divBdr>
            <w:top w:val="none" w:sz="0" w:space="0" w:color="auto"/>
            <w:left w:val="none" w:sz="0" w:space="0" w:color="auto"/>
            <w:bottom w:val="none" w:sz="0" w:space="0" w:color="auto"/>
            <w:right w:val="none" w:sz="0" w:space="0" w:color="auto"/>
          </w:divBdr>
        </w:div>
        <w:div w:id="1796293776">
          <w:marLeft w:val="0"/>
          <w:marRight w:val="0"/>
          <w:marTop w:val="0"/>
          <w:marBottom w:val="0"/>
          <w:divBdr>
            <w:top w:val="none" w:sz="0" w:space="0" w:color="auto"/>
            <w:left w:val="none" w:sz="0" w:space="0" w:color="auto"/>
            <w:bottom w:val="none" w:sz="0" w:space="0" w:color="auto"/>
            <w:right w:val="none" w:sz="0" w:space="0" w:color="auto"/>
          </w:divBdr>
        </w:div>
        <w:div w:id="1640458422">
          <w:marLeft w:val="0"/>
          <w:marRight w:val="0"/>
          <w:marTop w:val="0"/>
          <w:marBottom w:val="0"/>
          <w:divBdr>
            <w:top w:val="none" w:sz="0" w:space="0" w:color="auto"/>
            <w:left w:val="none" w:sz="0" w:space="0" w:color="auto"/>
            <w:bottom w:val="none" w:sz="0" w:space="0" w:color="auto"/>
            <w:right w:val="none" w:sz="0" w:space="0" w:color="auto"/>
          </w:divBdr>
        </w:div>
        <w:div w:id="7299574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35B3A-EC3E-2742-82C7-F86F02246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13707</Words>
  <Characters>78134</Characters>
  <Application>Microsoft Macintosh Word</Application>
  <DocSecurity>0</DocSecurity>
  <Lines>651</Lines>
  <Paragraphs>183</Paragraphs>
  <ScaleCrop>false</ScaleCrop>
  <Company>NOCS</Company>
  <LinksUpToDate>false</LinksUpToDate>
  <CharactersWithSpaces>91658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r.greenop</dc:creator>
  <cp:keywords/>
  <dc:description/>
  <cp:lastModifiedBy>r.greenop</cp:lastModifiedBy>
  <cp:revision>3</cp:revision>
  <cp:lastPrinted>2017-01-13T13:53:00Z</cp:lastPrinted>
  <dcterms:created xsi:type="dcterms:W3CDTF">2017-01-13T13:53:00Z</dcterms:created>
  <dcterms:modified xsi:type="dcterms:W3CDTF">2017-01-13T13:53:00Z</dcterms:modified>
</cp:coreProperties>
</file>