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387FB" w14:textId="0232E782" w:rsidR="00A11A94" w:rsidRPr="00A11A94" w:rsidRDefault="00E00DE8" w:rsidP="00A11A94">
      <w:pPr>
        <w:spacing w:line="480" w:lineRule="auto"/>
        <w:jc w:val="center"/>
        <w:rPr>
          <w:b/>
        </w:rPr>
      </w:pPr>
      <w:r w:rsidRPr="00A11A94">
        <w:rPr>
          <w:b/>
        </w:rPr>
        <w:t>A Tropical Speleothem Record of Glacial Inception,</w:t>
      </w:r>
    </w:p>
    <w:p w14:paraId="6FBED44C" w14:textId="69948804" w:rsidR="00E00DE8" w:rsidRPr="00A11A94" w:rsidRDefault="00E00DE8" w:rsidP="00A11A94">
      <w:pPr>
        <w:spacing w:line="480" w:lineRule="auto"/>
        <w:jc w:val="center"/>
        <w:rPr>
          <w:b/>
        </w:rPr>
      </w:pPr>
      <w:r w:rsidRPr="00A11A94">
        <w:rPr>
          <w:b/>
        </w:rPr>
        <w:t>the South American Summer Monsoon from 125 to 115 ka</w:t>
      </w:r>
    </w:p>
    <w:p w14:paraId="79407859" w14:textId="77777777" w:rsidR="00A42884" w:rsidRDefault="00A42884" w:rsidP="00DA6C5F">
      <w:pPr>
        <w:spacing w:line="480" w:lineRule="auto"/>
      </w:pPr>
    </w:p>
    <w:p w14:paraId="3955F8BA" w14:textId="060BDB1A" w:rsidR="00A42884" w:rsidRDefault="00A42884" w:rsidP="00DA6C5F">
      <w:pPr>
        <w:spacing w:line="480" w:lineRule="auto"/>
      </w:pPr>
      <w:r>
        <w:t>Stephen J. Burns</w:t>
      </w:r>
      <w:r w:rsidR="004A4715" w:rsidRPr="004A4715">
        <w:rPr>
          <w:vertAlign w:val="superscript"/>
        </w:rPr>
        <w:t>1</w:t>
      </w:r>
      <w:r w:rsidR="006004E7">
        <w:rPr>
          <w:vertAlign w:val="superscript"/>
        </w:rPr>
        <w:t>*</w:t>
      </w:r>
    </w:p>
    <w:p w14:paraId="41C73F47" w14:textId="7B1FA840" w:rsidR="004A4715" w:rsidRPr="004A4715" w:rsidRDefault="004A4715" w:rsidP="004A4715">
      <w:pPr>
        <w:spacing w:line="480" w:lineRule="auto"/>
      </w:pPr>
      <w:r w:rsidRPr="004A4715">
        <w:t>Lisa C. Kanner</w:t>
      </w:r>
      <w:r w:rsidRPr="004A4715">
        <w:rPr>
          <w:vertAlign w:val="superscript"/>
        </w:rPr>
        <w:t>1</w:t>
      </w:r>
      <w:r>
        <w:rPr>
          <w:vertAlign w:val="superscript"/>
        </w:rPr>
        <w:t>,2</w:t>
      </w:r>
    </w:p>
    <w:p w14:paraId="2F2C18A7" w14:textId="1EC658C3" w:rsidR="004A4715" w:rsidRPr="004A4715" w:rsidRDefault="004A4715" w:rsidP="004A4715">
      <w:pPr>
        <w:spacing w:line="480" w:lineRule="auto"/>
      </w:pPr>
      <w:r w:rsidRPr="004A4715">
        <w:t>Hai Cheng</w:t>
      </w:r>
      <w:r>
        <w:rPr>
          <w:vertAlign w:val="superscript"/>
        </w:rPr>
        <w:t>3</w:t>
      </w:r>
      <w:r w:rsidRPr="004A4715">
        <w:rPr>
          <w:vertAlign w:val="superscript"/>
        </w:rPr>
        <w:t>,</w:t>
      </w:r>
      <w:r>
        <w:rPr>
          <w:vertAlign w:val="superscript"/>
        </w:rPr>
        <w:t>4</w:t>
      </w:r>
    </w:p>
    <w:p w14:paraId="49BA9C2E" w14:textId="727C2FB1" w:rsidR="004A4715" w:rsidRPr="004A4715" w:rsidRDefault="004A4715" w:rsidP="004A4715">
      <w:pPr>
        <w:spacing w:line="480" w:lineRule="auto"/>
        <w:rPr>
          <w:vertAlign w:val="superscript"/>
        </w:rPr>
      </w:pPr>
      <w:r w:rsidRPr="004A4715">
        <w:t>R. Lawrence Edwards</w:t>
      </w:r>
      <w:r>
        <w:rPr>
          <w:vertAlign w:val="superscript"/>
        </w:rPr>
        <w:t>4</w:t>
      </w:r>
    </w:p>
    <w:p w14:paraId="17065E90" w14:textId="77777777" w:rsidR="004A4715" w:rsidRPr="004A4715" w:rsidRDefault="004A4715" w:rsidP="004A4715">
      <w:pPr>
        <w:spacing w:line="480" w:lineRule="auto"/>
        <w:rPr>
          <w:vertAlign w:val="superscript"/>
        </w:rPr>
      </w:pPr>
    </w:p>
    <w:p w14:paraId="6A668996" w14:textId="77777777" w:rsidR="004A4715" w:rsidRDefault="004A4715" w:rsidP="004A4715">
      <w:pPr>
        <w:spacing w:line="480" w:lineRule="auto"/>
      </w:pPr>
      <w:r w:rsidRPr="004A4715">
        <w:rPr>
          <w:vertAlign w:val="superscript"/>
        </w:rPr>
        <w:t>1</w:t>
      </w:r>
      <w:r w:rsidRPr="004A4715">
        <w:t>Department of Geosciences, University of Massachusetts, Amherst, Massachusetts 01002, USA.</w:t>
      </w:r>
    </w:p>
    <w:p w14:paraId="2298BA8B" w14:textId="77777777" w:rsidR="001B04E3" w:rsidRPr="001B04E3" w:rsidRDefault="004A4715" w:rsidP="001B04E3">
      <w:pPr>
        <w:spacing w:line="480" w:lineRule="auto"/>
      </w:pPr>
      <w:r w:rsidRPr="004A4715">
        <w:rPr>
          <w:vertAlign w:val="superscript"/>
        </w:rPr>
        <w:t>2</w:t>
      </w:r>
      <w:r>
        <w:t>Present address:</w:t>
      </w:r>
      <w:r w:rsidR="001B04E3">
        <w:t xml:space="preserve"> 2nd Nature LLC, </w:t>
      </w:r>
      <w:r w:rsidR="001B04E3" w:rsidRPr="001B04E3">
        <w:t>500 Seabright Ave, Santa Cruz, CA 95062</w:t>
      </w:r>
    </w:p>
    <w:p w14:paraId="7AB92012" w14:textId="7682FEFD" w:rsidR="004A4715" w:rsidRPr="004A4715" w:rsidRDefault="004A4715" w:rsidP="004A4715">
      <w:pPr>
        <w:spacing w:line="480" w:lineRule="auto"/>
      </w:pPr>
      <w:r>
        <w:rPr>
          <w:vertAlign w:val="superscript"/>
        </w:rPr>
        <w:t>3</w:t>
      </w:r>
      <w:r w:rsidRPr="004A4715">
        <w:t>Institute of Global Environmental Change, Xi'an Jiaotong University, Xi'an 710049, China.</w:t>
      </w:r>
    </w:p>
    <w:p w14:paraId="2B1057EA" w14:textId="4DD14FB2" w:rsidR="004A4715" w:rsidRPr="004A4715" w:rsidRDefault="004A4715" w:rsidP="004A4715">
      <w:pPr>
        <w:spacing w:line="480" w:lineRule="auto"/>
      </w:pPr>
      <w:r>
        <w:rPr>
          <w:vertAlign w:val="superscript"/>
        </w:rPr>
        <w:t>4</w:t>
      </w:r>
      <w:r w:rsidRPr="004A4715">
        <w:t>Department of Geology and Geophysics, University of Minnesota, Minneapolis, MN 55455, USA.</w:t>
      </w:r>
    </w:p>
    <w:p w14:paraId="7428C87B" w14:textId="4D4F28B0" w:rsidR="00A42884" w:rsidRDefault="006004E7" w:rsidP="00DA6C5F">
      <w:pPr>
        <w:spacing w:line="480" w:lineRule="auto"/>
      </w:pPr>
      <w:r>
        <w:t>* Corresponding author email:  sburns@geo.umass.edu</w:t>
      </w:r>
    </w:p>
    <w:p w14:paraId="06E364D2" w14:textId="46A83AE6" w:rsidR="004A4715" w:rsidRDefault="004A4715">
      <w:r>
        <w:br w:type="page"/>
      </w:r>
    </w:p>
    <w:p w14:paraId="3EE8614C" w14:textId="77777777" w:rsidR="00E00DE8" w:rsidRDefault="00E00DE8" w:rsidP="00DA6C5F">
      <w:pPr>
        <w:spacing w:line="480" w:lineRule="auto"/>
      </w:pPr>
    </w:p>
    <w:p w14:paraId="2802E6D9" w14:textId="340408FE" w:rsidR="00C11CE7" w:rsidRPr="00BE319E" w:rsidRDefault="00E00DE8" w:rsidP="00DA6C5F">
      <w:pPr>
        <w:spacing w:line="480" w:lineRule="auto"/>
        <w:rPr>
          <w:b/>
        </w:rPr>
      </w:pPr>
      <w:r w:rsidRPr="00BE319E">
        <w:rPr>
          <w:b/>
        </w:rPr>
        <w:t>Abstract</w:t>
      </w:r>
      <w:r w:rsidR="00BE319E">
        <w:rPr>
          <w:b/>
        </w:rPr>
        <w:t>.</w:t>
      </w:r>
    </w:p>
    <w:p w14:paraId="2A5ECAA2" w14:textId="18483933" w:rsidR="00E00DE8" w:rsidRPr="00DA6C5F" w:rsidRDefault="00C11CE7" w:rsidP="00DA6C5F">
      <w:pPr>
        <w:spacing w:line="480" w:lineRule="auto"/>
      </w:pPr>
      <w:r>
        <w:t xml:space="preserve">Relatively few marine or terrestrial paleoclimate studies have focused on glacial inception, the transition from an interglacial to a glacial climate state.  As a result, the timing and structure of glacial inception is not well known, nor is the spatial pattern of glacial inception in different parts of the world.  Here we present results of a study of a speleothem from the Peruvian Andes that records changes in the intensity of South American Summer Monsoon (SASM) rainfall over the period from 125-115 ka.  The results show that late in the last interglacial period, at 123 ka, SASM rainfall decreased, perhaps in response to a decrease in </w:t>
      </w:r>
      <w:r w:rsidR="00370C52">
        <w:t>temperature and ice cover in the high n</w:t>
      </w:r>
      <w:r>
        <w:t>or</w:t>
      </w:r>
      <w:r w:rsidR="00370C52">
        <w:t>thern latitudes</w:t>
      </w:r>
      <w:r w:rsidR="00FC4CA4">
        <w:t xml:space="preserve"> and </w:t>
      </w:r>
      <w:r w:rsidR="00370C52">
        <w:t>associated changes in</w:t>
      </w:r>
      <w:r w:rsidR="00FC4CA4">
        <w:t xml:space="preserve"> atmospheric circulation</w:t>
      </w:r>
      <w:r>
        <w:t xml:space="preserve">. </w:t>
      </w:r>
      <w:r w:rsidR="00FC4CA4">
        <w:t xml:space="preserve"> </w:t>
      </w:r>
      <w:r>
        <w:t>Then at 120.8 ka a rapid increase in SASM rainfall marks the end of the last interglacial</w:t>
      </w:r>
      <w:r w:rsidR="00DA6C5F">
        <w:t>. After a more gradual increase between 120 and 117 ka, a second abrupt increase occurs at 117 ka. This pattern of change is mirrored to a remarkable degree by changes in the East Asian Monsoon. It is interpreted to reflect both a long</w:t>
      </w:r>
      <w:r w:rsidR="00FC4CA4">
        <w:t>-</w:t>
      </w:r>
      <w:r w:rsidR="00DA6C5F">
        <w:t>term gradual response of the monsoons t</w:t>
      </w:r>
      <w:r w:rsidR="008F7CCB">
        <w:t>o</w:t>
      </w:r>
      <w:r w:rsidR="00DA6C5F">
        <w:t xml:space="preserve"> orbitally-driven insolation changes and to rapid changes in Northern Hemisphere ice volume and temperature.  Both monsoon systems are close to their full glacial conditions by 117 ka, before any significant decrease in atmospheric CO</w:t>
      </w:r>
      <w:r w:rsidR="00DA6C5F" w:rsidRPr="00DA6C5F">
        <w:rPr>
          <w:vertAlign w:val="subscript"/>
        </w:rPr>
        <w:t>2</w:t>
      </w:r>
      <w:r w:rsidR="00DA6C5F">
        <w:t>.</w:t>
      </w:r>
    </w:p>
    <w:p w14:paraId="1F698804" w14:textId="77777777" w:rsidR="003D092A" w:rsidRDefault="003D092A" w:rsidP="00B90AF7">
      <w:pPr>
        <w:spacing w:line="480" w:lineRule="auto"/>
      </w:pPr>
    </w:p>
    <w:p w14:paraId="5EF33B62" w14:textId="77777777" w:rsidR="00DA6C5F" w:rsidRDefault="00DA6C5F">
      <w:r>
        <w:br w:type="page"/>
      </w:r>
    </w:p>
    <w:p w14:paraId="37190BC5" w14:textId="477AED15" w:rsidR="00DA6C5F" w:rsidRPr="00976E10" w:rsidRDefault="00BE319E" w:rsidP="00B90AF7">
      <w:pPr>
        <w:spacing w:line="480" w:lineRule="auto"/>
        <w:rPr>
          <w:b/>
        </w:rPr>
      </w:pPr>
      <w:r>
        <w:rPr>
          <w:b/>
        </w:rPr>
        <w:lastRenderedPageBreak/>
        <w:t>1</w:t>
      </w:r>
      <w:r w:rsidRPr="00976E10">
        <w:rPr>
          <w:b/>
        </w:rPr>
        <w:t xml:space="preserve"> </w:t>
      </w:r>
      <w:r w:rsidR="00DA6C5F" w:rsidRPr="00976E10">
        <w:rPr>
          <w:b/>
        </w:rPr>
        <w:t>Introduction</w:t>
      </w:r>
    </w:p>
    <w:p w14:paraId="71172280" w14:textId="166C22A1" w:rsidR="0025388D" w:rsidRDefault="000C3084" w:rsidP="00B90AF7">
      <w:pPr>
        <w:spacing w:line="480" w:lineRule="auto"/>
      </w:pPr>
      <w:r>
        <w:t>Studies of Earth's transitions from glacial to interglacial states over the past several hundred thousand years have focused on glacial terminations. In particular, the last glacial termination, covering the period from approximately 20-10 ka has been dissected in great detail to better understand how and why glacial conditions yield to a full interglacial</w:t>
      </w:r>
      <w:r w:rsidR="007210E5">
        <w:t xml:space="preserve">  </w:t>
      </w:r>
      <w:r w:rsidR="007210E5">
        <w:fldChar w:fldCharType="begin"/>
      </w:r>
      <w:r w:rsidR="00B61709">
        <w:instrText xml:space="preserve"> ADDIN ZOTERO_ITEM CSL_CITATION {"citationID":"1c51f8vobh","properties":{"formattedCitation":"(Cheng et al., 2009)","plainCitation":"(Cheng et al., 2009)","dontUpdate":true},"citationItems":[{"id":397,"uris":["http://zotero.org/users/local/ylr7WDKU/items/69VBVHST","http://zotero.org/users/local/ylr7WDKU/items/ZH84T2KQ"],"uri":["http://zotero.org/users/local/ylr7WDKU/items/69VBVHST","http://zotero.org/users/local/ylr7WDKU/items/ZH84T2KQ"],"itemData":{"id":397,"type":"article-journal","title":"Ice Age Terminations","container-title":"SCIENCE","page":"248-252","volume":"326","issue":"5950","abstract":"(230)Th-dated oxygen isotope records of stalagmites from Sanbao Cave, China, characterize Asian Monsoon (AM) precipitation through the ends of the third-and fourthmost recent ice ages. As a result, AM records for the past four glacial terminations can now be precisely correlated with those from ice cores and marine sediments, establishing the timing and sequence of major events. In all four cases, observations are consistent with a classic Northern Hemisphere summer insolation intensity trigger for an initial retreat of northern ice sheets. Meltwater and icebergs entering the North Atlantic alter oceanic and atmospheric circulation and associated fluxes of heat and carbon, causing increases in atmospheric CO(2) and Antarctic temperatures that drive the termination in the Southern Hemisphere. Increasing CO(2) and summer insolation drive recession of northern ice sheets, with probable positive feedbacks between sea level and CO(2).","DOI":"10.1126/science.1177840","ISSN":"0036-8075","language":"English","author":[{"family":"Cheng","given":"Hai"},{"family":"Edwards","given":"R. Lawrence"},{"family":"Broecker","given":"Wallace S."},{"family":"Denton","given":"George H."},{"family":"Kong","given":"Xinggong"},{"family":"Wang","given":"Yongjin"},{"family":"Zhang","given":"Rong"},{"family":"Wang","given":"Xianfeng"}],"issued":{"date-parts":[["2009",10,9]]}}}],"schema":"https://github.com/citation-style-language/schema/raw/master/csl-citation.json"} </w:instrText>
      </w:r>
      <w:r w:rsidR="007210E5">
        <w:fldChar w:fldCharType="separate"/>
      </w:r>
      <w:r w:rsidR="007210E5">
        <w:rPr>
          <w:noProof/>
        </w:rPr>
        <w:t>(</w:t>
      </w:r>
      <w:r w:rsidR="00053ECB">
        <w:rPr>
          <w:noProof/>
        </w:rPr>
        <w:t xml:space="preserve">e.g. </w:t>
      </w:r>
      <w:r w:rsidR="007210E5">
        <w:rPr>
          <w:noProof/>
        </w:rPr>
        <w:t>Cheng et al., 2009</w:t>
      </w:r>
      <w:r w:rsidR="007210E5">
        <w:fldChar w:fldCharType="end"/>
      </w:r>
      <w:r w:rsidR="00053ECB">
        <w:t xml:space="preserve">; </w:t>
      </w:r>
      <w:r w:rsidR="00B53B11">
        <w:fldChar w:fldCharType="begin"/>
      </w:r>
      <w:r w:rsidR="00B61709">
        <w:instrText xml:space="preserve"> ADDIN ZOTERO_ITEM CSL_CITATION {"citationID":"cglj3974m","properties":{"formattedCitation":"(Denton et al., 2010)","plainCitation":"(Denton et al., 2010)"},"citationItems":[{"id":514,"uris":["http://zotero.org/users/local/ylr7WDKU/items/IA8ZGGTC"],"uri":["http://zotero.org/users/local/ylr7WDKU/items/IA8ZGGTC"],"itemData":{"id":514,"type":"article-journal","title":"The Last Glacial Termination","container-title":"Science","page":"1652-1656","volume":"328","issue":"5986","source":"www.sciencemag.org","abstract":"A major puzzle of paleoclimatology is why, after a long interval of cooling climate, each late Quaternary ice age ended with a relatively short warming leg called a termination. We here offer a comprehensive hypothesis of how Earth emerged from the last global ice age. A prerequisite was the growth of very large Northern Hemisphere ice sheets, whose subsequent collapse created stadial conditions that disrupted global patterns of ocean and atmospheric circulation. The Southern Hemisphere westerlies shifted poleward during each northern stadial, producing pulses of ocean upwelling and warming that together accounted for much of the termination in the Southern Ocean and Antarctica. Rising atmospheric CO2 during southern upwelling pulses augmented warming during the last termination in both polar hemispheres.","DOI":"10.1126/science.1184119","ISSN":"0036-8075, 1095-9203","journalAbbreviation":"Science","language":"en","author":[{"family":"Denton","given":"G. H."},{"family":"Anderson","given":"R. F."},{"family":"Toggweiler","given":"J. R."},{"family":"Edwards","given":"R. L."},{"family":"Schaefer","given":"J. M."},{"family":"Putnam","given":"A. E."}],"issued":{"date-parts":[["2010",6,25]]},"accessed":{"date-parts":[["2013",1,24]],"season":"15:46:26"}}}],"schema":"https://github.com/citation-style-language/schema/raw/master/csl-citation.json"} </w:instrText>
      </w:r>
      <w:r w:rsidR="00B53B11">
        <w:fldChar w:fldCharType="separate"/>
      </w:r>
      <w:r w:rsidR="00B53B11">
        <w:rPr>
          <w:noProof/>
        </w:rPr>
        <w:t>Denton et al., 2010</w:t>
      </w:r>
      <w:r w:rsidR="00053ECB">
        <w:rPr>
          <w:noProof/>
        </w:rPr>
        <w:t xml:space="preserve">; </w:t>
      </w:r>
      <w:r w:rsidR="00B53B11">
        <w:fldChar w:fldCharType="end"/>
      </w:r>
      <w:r w:rsidR="00053ECB">
        <w:fldChar w:fldCharType="begin"/>
      </w:r>
      <w:r w:rsidR="00B61709">
        <w:instrText xml:space="preserve"> ADDIN ZOTERO_ITEM CSL_CITATION {"citationID":"13rrfndiut","properties":{"formattedCitation":"(Shakun et al., 2012)","plainCitation":"(Shakun et al., 2012)"},"citationItems":[{"id":562,"uris":["http://zotero.org/users/local/ylr7WDKU/items/8PQJS6JS"],"uri":["http://zotero.org/users/local/ylr7WDKU/items/8PQJS6JS"],"itemData":{"id":562,"type":"article-journal","title":"Global warming preceded by increasing carbon dioxide concentrations during the last deglaciation","container-title":"Nature","page":"49-54","volume":"484","issue":"7392","source":"www.nature.com","abstract":"The covariation of carbon dioxide (CO2) concentration and temperature in Antarctic ice-core records suggests a close link between CO2 and climate during the Pleistocene ice ages. The role and relative importance of CO2 in producing these climate changes remains unclear, however, in part because the ice-core deuterium record reflects local rather than global temperature. Here we construct a record of global surface temperature from 80 proxy records and show that temperature is correlated with and generally lags CO2 during the last (that is, the most recent) deglaciation. Differences between the respective temperature changes of the Northern Hemisphere and Southern Hemisphere parallel variations in the strength of the Atlantic meridional overturning circulation recorded in marine sediments. These observations, together with transient global climate model simulations, support the conclusion that an antiphased hemispheric temperature response to ocean circulation changes superimposed on globally in-phase warming driven by increasing CO2 concentrations is an explanation for much of the temperature change at the end of the most recent ice age.","DOI":"10.1038/nature10915","ISSN":"0028-0836","language":"en","author":[{"family":"Shakun","given":"Jeremy D."},{"family":"Clark","given":"Peter U."},{"family":"He","given":"Feng"},{"family":"Marcott","given":"Shaun A."},{"family":"Mix","given":"Alan C."},{"family":"Liu","given":"Zhengyu"},{"family":"Otto-Bliesner","given":"Bette"},{"family":"Schmittner","given":"Andreas"},{"family":"Bard","given":"Edouard"}],"issued":{"date-parts":[["2012",4,5]]},"accessed":{"date-parts":[["2013",1,24]],"season":"15:51:04"}}}],"schema":"https://github.com/citation-style-language/schema/raw/master/csl-citation.json"} </w:instrText>
      </w:r>
      <w:r w:rsidR="00053ECB">
        <w:fldChar w:fldCharType="separate"/>
      </w:r>
      <w:r w:rsidR="00053ECB">
        <w:rPr>
          <w:noProof/>
        </w:rPr>
        <w:t>Shakun et al., 2012; and references therein)</w:t>
      </w:r>
      <w:r w:rsidR="00053ECB">
        <w:fldChar w:fldCharType="end"/>
      </w:r>
      <w:r>
        <w:t xml:space="preserve">. But relatively </w:t>
      </w:r>
      <w:r w:rsidR="00692F5D">
        <w:t>few paleoclimate studies</w:t>
      </w:r>
      <w:r>
        <w:t xml:space="preserve"> </w:t>
      </w:r>
      <w:r w:rsidR="00692F5D">
        <w:t xml:space="preserve">have </w:t>
      </w:r>
      <w:r w:rsidR="003D092A">
        <w:t xml:space="preserve">focused on </w:t>
      </w:r>
      <w:r>
        <w:t xml:space="preserve">the </w:t>
      </w:r>
      <w:r w:rsidR="00457A40">
        <w:t xml:space="preserve">details of the </w:t>
      </w:r>
      <w:r>
        <w:t>other transition between climate states - glacial inception. The relative age of the most recent glacial in</w:t>
      </w:r>
      <w:r w:rsidR="00457A40">
        <w:t>ception, about 120 ka, is likely</w:t>
      </w:r>
      <w:r>
        <w:t xml:space="preserve"> a factor since far fewer high resolution archives of climate, either marine or terrestrial, extend so far back in time. </w:t>
      </w:r>
    </w:p>
    <w:p w14:paraId="0408FDBC" w14:textId="77777777" w:rsidR="00053F08" w:rsidRDefault="00053F08" w:rsidP="00B90AF7">
      <w:pPr>
        <w:spacing w:line="480" w:lineRule="auto"/>
      </w:pPr>
    </w:p>
    <w:p w14:paraId="310C7B9B" w14:textId="35F8F3FB" w:rsidR="003D092A" w:rsidRDefault="00053F08" w:rsidP="00B90AF7">
      <w:pPr>
        <w:spacing w:line="480" w:lineRule="auto"/>
      </w:pPr>
      <w:r>
        <w:t xml:space="preserve">As a result, inferred rates of glacial inception are primarily based on tuning to </w:t>
      </w:r>
      <w:r w:rsidR="006004E7">
        <w:t>orbitally driven</w:t>
      </w:r>
      <w:r>
        <w:t xml:space="preserve"> insolation changes or marine records and are not firmly established by absolutely dated chronologies</w:t>
      </w:r>
      <w:r w:rsidR="00052FDD">
        <w:t>. Similarly, the</w:t>
      </w:r>
      <w:r>
        <w:t xml:space="preserve"> timing and pattern of glacial inception in different parts of the world are not well known.  </w:t>
      </w:r>
      <w:r w:rsidR="003D092A">
        <w:t>Sp</w:t>
      </w:r>
      <w:r w:rsidR="006004E7">
        <w:t>e</w:t>
      </w:r>
      <w:r w:rsidR="003D092A">
        <w:t xml:space="preserve">leothems have </w:t>
      </w:r>
      <w:r>
        <w:t xml:space="preserve">often </w:t>
      </w:r>
      <w:r w:rsidR="003D092A">
        <w:t>proven useful in adding absolute age chron</w:t>
      </w:r>
      <w:r>
        <w:t>ologies to paleoclimate records, f</w:t>
      </w:r>
      <w:r w:rsidR="003D092A">
        <w:t>or example, the age and duration of Dansgaard/Oeschger events</w:t>
      </w:r>
      <w:r w:rsidR="00052FDD">
        <w:t xml:space="preserve"> </w:t>
      </w:r>
      <w:r w:rsidR="00053ECB">
        <w:fldChar w:fldCharType="begin"/>
      </w:r>
      <w:r w:rsidR="00B61709">
        <w:instrText xml:space="preserve"> ADDIN ZOTERO_ITEM CSL_CITATION {"citationID":"1p8s7jugcq","properties":{"formattedCitation":"(Wang et al., 2001)","plainCitation":"(Wang et al., 2001)"},"citationItems":[{"id":491,"uris":["http://zotero.org/users/local/ylr7WDKU/items/G8BVVEBH"],"uri":["http://zotero.org/users/local/ylr7WDKU/items/G8BVVEBH"],"itemData":{"id":491,"type":"article-journal","title":"A high-resolution absolute-dated late Pleistocene monsoon record from Hulu Cave, China","container-title":"Science","page":"2345–2348","volume":"294","issue":"5550","source":"Google Scholar","author":[{"family":"Wang","given":"Y. J."},{"family":"Cheng","given":"H."},{"family":"Edwards","given":"R. L."},{"family":"An","given":"Z. S."},{"family":"Wu","given":"J. Y."},{"family":"Shen","given":"C. C."},{"family":"Dorale","given":"J. A."}],"issued":{"date-parts":[["2001"]]},"accessed":{"date-parts":[["2012",9,5]]}}}],"schema":"https://github.com/citation-style-language/schema/raw/master/csl-citation.json"} </w:instrText>
      </w:r>
      <w:r w:rsidR="00053ECB">
        <w:fldChar w:fldCharType="separate"/>
      </w:r>
      <w:r w:rsidR="00053ECB">
        <w:rPr>
          <w:noProof/>
        </w:rPr>
        <w:t>(Wang et al., 2001</w:t>
      </w:r>
      <w:r w:rsidR="00053ECB">
        <w:fldChar w:fldCharType="end"/>
      </w:r>
      <w:r w:rsidR="00052FDD">
        <w:t>;</w:t>
      </w:r>
      <w:r>
        <w:t xml:space="preserve"> </w:t>
      </w:r>
      <w:r w:rsidR="00053ECB">
        <w:fldChar w:fldCharType="begin"/>
      </w:r>
      <w:r w:rsidR="00B61709">
        <w:instrText xml:space="preserve"> ADDIN ZOTERO_ITEM CSL_CITATION {"citationID":"4cjn6op2p","properties":{"formattedCitation":"(Kanner et al., 2012)","plainCitation":"(Kanner et al., 2012)"},"citationItems":[{"id":503,"uris":["http://zotero.org/users/local/ylr7WDKU/items/MMSC64P4"],"uri":["http://zotero.org/users/local/ylr7WDKU/items/MMSC64P4"],"itemData":{"id":503,"type":"article-journal","title":"High-Latitude Forcing of the South American Summer Monsoon During the Last Glacial","container-title":"Science","page":"570-573","volume":"335","issue":"6068","source":"www.sciencemag.org","abstract":"The climate of the Last Glacial period (10,000 to 110,000 years ago) was characterized by rapid millennial-scale climate fluctuations termed Dansgaard/Oeschger (D/O) and Heinrich events. We present results from a speleothem-derived proxy of the South American summer monsoon (SASM) from 16,000 to 50,000 years ago that demonstrate the occurrence of D/O cycles and Heinrich events. This tropical Southern Hemisphere monsoon reconstruction illustrates an antiphase relationship to Northern Hemisphere monsoon intensity at the millennial scale. Our results also show an influence of Antarctic millennial-scale climate fluctuations on the SASM. This high-resolution, precisely dated, tropical precipitation record can be used to establish the timing of climate events in the high latitudes of the Northern and Southern Hemispheres.","DOI":"10.1126/science.1213397","ISSN":"0036-8075, 1095-9203","journalAbbreviation":"Science","language":"en","author":[{"family":"Kanner","given":"Lisa C."},{"family":"Burns","given":"Stephen J."},{"family":"Cheng","given":"Hai"},{"family":"Edwards","given":"R. Lawrence"}],"issued":{"date-parts":[["2012",2,3]]},"accessed":{"date-parts":[["2012",9,26]]}}}],"schema":"https://github.com/citation-style-language/schema/raw/master/csl-citation.json"} </w:instrText>
      </w:r>
      <w:r w:rsidR="00053ECB">
        <w:fldChar w:fldCharType="separate"/>
      </w:r>
      <w:r w:rsidR="00053ECB">
        <w:rPr>
          <w:noProof/>
        </w:rPr>
        <w:t>Kanner et al., 2012)</w:t>
      </w:r>
      <w:r w:rsidR="00053ECB">
        <w:fldChar w:fldCharType="end"/>
      </w:r>
      <w:r w:rsidR="00052FDD">
        <w:t xml:space="preserve">.  </w:t>
      </w:r>
      <w:r>
        <w:t>They can also yield decadal to sub-decadal res</w:t>
      </w:r>
      <w:r w:rsidR="00052FDD">
        <w:t xml:space="preserve">olution </w:t>
      </w:r>
      <w:r w:rsidR="00ED15C9">
        <w:t>paleoclima</w:t>
      </w:r>
      <w:r>
        <w:t xml:space="preserve">te information for many regions. </w:t>
      </w:r>
      <w:r w:rsidR="003D092A">
        <w:t xml:space="preserve">Thus well-dated </w:t>
      </w:r>
      <w:r w:rsidR="001C4D51">
        <w:t>high-resolution</w:t>
      </w:r>
      <w:r>
        <w:t xml:space="preserve"> speleothem records </w:t>
      </w:r>
      <w:r w:rsidR="003D092A">
        <w:t xml:space="preserve">that cover the period of glacial inception have the potential to </w:t>
      </w:r>
      <w:r w:rsidR="007B5E73">
        <w:t xml:space="preserve">eliminate uncertainty in the </w:t>
      </w:r>
      <w:r w:rsidR="00A77D4F">
        <w:t>timing and rates of clima</w:t>
      </w:r>
      <w:r w:rsidR="003D092A">
        <w:t xml:space="preserve">te change during </w:t>
      </w:r>
      <w:r w:rsidR="00052FDD">
        <w:t>glacial inception</w:t>
      </w:r>
      <w:r w:rsidR="001A0326">
        <w:t xml:space="preserve"> and the relationship between low and high-latitude records</w:t>
      </w:r>
      <w:r w:rsidR="003D092A">
        <w:t xml:space="preserve">. </w:t>
      </w:r>
      <w:r w:rsidR="007B5E73">
        <w:t xml:space="preserve">In doing so, </w:t>
      </w:r>
      <w:r w:rsidR="007B5E73">
        <w:lastRenderedPageBreak/>
        <w:t>t</w:t>
      </w:r>
      <w:r w:rsidR="003D092A">
        <w:t>hey may also help est</w:t>
      </w:r>
      <w:r w:rsidR="007B5E73">
        <w:t xml:space="preserve">ablish the forcing necessary for the transition from </w:t>
      </w:r>
      <w:r w:rsidR="00C040EB">
        <w:t xml:space="preserve">one </w:t>
      </w:r>
      <w:r w:rsidR="007B5E73">
        <w:t>state to another.</w:t>
      </w:r>
      <w:r>
        <w:t xml:space="preserve"> </w:t>
      </w:r>
      <w:r w:rsidR="003D092A">
        <w:t xml:space="preserve">Here we present a </w:t>
      </w:r>
      <w:r w:rsidR="001A0326">
        <w:t xml:space="preserve">well-dated, high-resolution </w:t>
      </w:r>
      <w:r w:rsidR="003D092A">
        <w:t xml:space="preserve">speleothem record of changes in the South American Summer Monsoon from 125 to 115 ka, a period covering the transition from the penultimate interglacial to the </w:t>
      </w:r>
      <w:r w:rsidR="001A0326">
        <w:t xml:space="preserve">beginning of the </w:t>
      </w:r>
      <w:r w:rsidR="003D092A">
        <w:t xml:space="preserve">last glacial period. </w:t>
      </w:r>
    </w:p>
    <w:p w14:paraId="613A88B2" w14:textId="77777777" w:rsidR="000C3084" w:rsidRDefault="000C3084" w:rsidP="00B90AF7">
      <w:pPr>
        <w:spacing w:line="480" w:lineRule="auto"/>
      </w:pPr>
    </w:p>
    <w:p w14:paraId="54792E12" w14:textId="31FC6517" w:rsidR="00BE319E" w:rsidRPr="00976E10" w:rsidRDefault="00BE319E" w:rsidP="00B90AF7">
      <w:pPr>
        <w:spacing w:line="480" w:lineRule="auto"/>
        <w:rPr>
          <w:b/>
        </w:rPr>
      </w:pPr>
      <w:r w:rsidRPr="00976E10">
        <w:rPr>
          <w:b/>
        </w:rPr>
        <w:t>2  Material And Methods</w:t>
      </w:r>
    </w:p>
    <w:p w14:paraId="3C6D23BA" w14:textId="77777777" w:rsidR="008B0AB7" w:rsidRDefault="002C72BC" w:rsidP="00B90AF7">
      <w:pPr>
        <w:spacing w:line="480" w:lineRule="auto"/>
      </w:pPr>
      <w:r>
        <w:t xml:space="preserve">Sample P10-H1 is from </w:t>
      </w:r>
      <w:r w:rsidRPr="002C72BC">
        <w:t>Huagapo Cave (11.27</w:t>
      </w:r>
      <w:r w:rsidR="00B937B6">
        <w:rPr>
          <w:rFonts w:ascii="Cambria" w:hAnsi="Cambria"/>
        </w:rPr>
        <w:t>°</w:t>
      </w:r>
      <w:r w:rsidRPr="002C72BC">
        <w:t>S; 75.79</w:t>
      </w:r>
      <w:r w:rsidR="00B937B6">
        <w:rPr>
          <w:rFonts w:ascii="Cambria" w:hAnsi="Cambria"/>
        </w:rPr>
        <w:t>°</w:t>
      </w:r>
      <w:r w:rsidRPr="002C72BC">
        <w:t xml:space="preserve">W) </w:t>
      </w:r>
      <w:r>
        <w:t>~3,8</w:t>
      </w:r>
      <w:r w:rsidRPr="002C72BC">
        <w:t xml:space="preserve">50 meters above sea level (masl) in the central Peruvian Andes.  </w:t>
      </w:r>
      <w:r>
        <w:t>The</w:t>
      </w:r>
      <w:r w:rsidRPr="002C72BC">
        <w:t xml:space="preserve"> </w:t>
      </w:r>
      <w:r w:rsidR="00052FDD">
        <w:t>sample is a calcite stalagmite 31.8</w:t>
      </w:r>
      <w:r>
        <w:t xml:space="preserve"> cm tall from an upper gallery of the cave approximately 70</w:t>
      </w:r>
      <w:r w:rsidRPr="002C72BC">
        <w:t>0 meters from the main entrance. The sample</w:t>
      </w:r>
      <w:r>
        <w:t xml:space="preserve"> was</w:t>
      </w:r>
      <w:r w:rsidRPr="002C72BC">
        <w:t xml:space="preserve"> </w:t>
      </w:r>
      <w:r>
        <w:t>cut</w:t>
      </w:r>
      <w:r w:rsidRPr="002C72BC">
        <w:t xml:space="preserve"> </w:t>
      </w:r>
      <w:r>
        <w:t xml:space="preserve">into halves </w:t>
      </w:r>
      <w:r w:rsidRPr="002C72BC">
        <w:t xml:space="preserve">along the growth axis and </w:t>
      </w:r>
      <w:r w:rsidR="00052FDD">
        <w:t>polished.  F</w:t>
      </w:r>
      <w:r>
        <w:t>or radiometric dating, 10 subs</w:t>
      </w:r>
      <w:r w:rsidR="00052FDD">
        <w:t>amples were taken about every 30</w:t>
      </w:r>
      <w:r>
        <w:t xml:space="preserve"> mm parallel to</w:t>
      </w:r>
      <w:r w:rsidRPr="002C72BC">
        <w:t xml:space="preserve"> growth</w:t>
      </w:r>
      <w:r>
        <w:t xml:space="preserve"> layers. For </w:t>
      </w:r>
      <w:r w:rsidRPr="002C72BC">
        <w:t xml:space="preserve">stable oxygen and carbon isotope </w:t>
      </w:r>
      <w:r>
        <w:t>analysis, 318 subsamples were taken every millimeter along the growth axis.</w:t>
      </w:r>
      <w:r w:rsidR="00CF2A00">
        <w:t xml:space="preserve"> </w:t>
      </w:r>
    </w:p>
    <w:p w14:paraId="27918A8C" w14:textId="77777777" w:rsidR="008B0AB7" w:rsidRDefault="008B0AB7" w:rsidP="00B90AF7">
      <w:pPr>
        <w:spacing w:line="480" w:lineRule="auto"/>
      </w:pPr>
    </w:p>
    <w:p w14:paraId="4429C052" w14:textId="69D310C8" w:rsidR="002C72BC" w:rsidRDefault="00CF2A00" w:rsidP="00B90AF7">
      <w:pPr>
        <w:spacing w:line="480" w:lineRule="auto"/>
      </w:pPr>
      <w:r>
        <w:t>The</w:t>
      </w:r>
      <w:r w:rsidR="002C72BC">
        <w:t xml:space="preserve"> </w:t>
      </w:r>
      <w:r w:rsidR="000B129F">
        <w:t>radiometric dates</w:t>
      </w:r>
      <w:r w:rsidR="00052FDD">
        <w:t xml:space="preserve"> were</w:t>
      </w:r>
      <w:r w:rsidR="002C72BC" w:rsidRPr="002C72BC">
        <w:t xml:space="preserve"> </w:t>
      </w:r>
      <w:r w:rsidR="000B129F">
        <w:t>measured</w:t>
      </w:r>
      <w:r w:rsidR="002C72BC" w:rsidRPr="002C72BC">
        <w:t xml:space="preserve"> using a multi-collector, inductively coupled plasma mass spectrometry (MC-ICPMS) on a Thermo-Finnigan Neptune at the Minnesota Isotope Laboratory with procedures similar to those described in</w:t>
      </w:r>
      <w:r w:rsidR="00555001">
        <w:t xml:space="preserve"> </w:t>
      </w:r>
      <w:r w:rsidR="00555001">
        <w:fldChar w:fldCharType="begin"/>
      </w:r>
      <w:r w:rsidR="00B61709">
        <w:instrText xml:space="preserve"> ADDIN ZOTERO_ITEM CSL_CITATION {"citationID":"g2hsuek57","properties":{"formattedCitation":"(Cheng, Fleitmann, et al., 2009)","plainCitation":"(Cheng, Fleitmann, et al., 2009)","dontUpdate":true},"citationItems":[{"id":516,"uris":["http://zotero.org/users/local/ylr7WDKU/items/Z3JIQNJG"],"uri":["http://zotero.org/users/local/ylr7WDKU/items/Z3JIQNJG"],"itemData":{"id":516,"type":"article-journal","title":"Timing and structure of the 8.2 kyr B.P. event inferred from δ18O records of stalagmites from China, Oman, and Brazil","container-title":"Geology","page":"1007-1010","volume":"37","issue":"11","source":"geology.gsapubs.org","abstract":"Oxygen isotope records of stalagmites from China and Oman reveal a weak summer monsoon event, with a double-plunging structure, that started 8.21 ± 0.02 kyr B.P. An identical but antiphased pattern is also evident in two stalagmite records from eastern Brazil, indicating that the South American Summer Monsoon was intensified during the 8.2 kyr B.P. event. These records demonstrate that the event was of global extent and synchronous within dating errors of &lt;50 years. In comparison with recent model simulations, it is plausible that the 8.2 kyr B.P. event can be tied in changes of the Atlantic Meridional Overturning Circulation triggered by a glacial lake draining event. This, in turn, affected North Atlantic climate and latitudinal position of the Intertropical Convergence Zone, resulting in the observed low-latitude monsoonal precipitation patterns.","DOI":"10.1130/G30126A.1","ISSN":"0091-7613, 1943-2682","journalAbbreviation":"Geology","language":"en","author":[{"family":"Cheng","given":"Hai"},{"family":"Fleitmann","given":"Dominik"},{"family":"Edwards","given":"R. Lawrence"},{"family":"Wang","given":"Xianfeng"},{"family":"Cruz","given":"Francisco W."},{"family":"Auler","given":"Augusto S."},{"family":"Mangini","given":"Augusto"},{"family":"Wang","given":"Yongjin"},{"family":"Kong","given":"Xinggong"},{"family":"Burns","given":"Stephen J."},{"family":"Matter","given":"Albert"}],"issued":{"date-parts":[["2009",11,1]]},"accessed":{"date-parts":[["2012",9,26]]}}}],"schema":"https://github.com/citation-style-language/schema/raw/master/csl-citation.json"} </w:instrText>
      </w:r>
      <w:r w:rsidR="00555001">
        <w:fldChar w:fldCharType="separate"/>
      </w:r>
      <w:r w:rsidR="00555001">
        <w:rPr>
          <w:noProof/>
        </w:rPr>
        <w:t>(Cheng, et al., 2009)</w:t>
      </w:r>
      <w:r w:rsidR="00555001">
        <w:fldChar w:fldCharType="end"/>
      </w:r>
      <w:r w:rsidR="00555001">
        <w:t xml:space="preserve">.  </w:t>
      </w:r>
      <w:r w:rsidR="000B129F">
        <w:t xml:space="preserve">The stable isotopic analyses </w:t>
      </w:r>
      <w:r w:rsidR="002C72BC" w:rsidRPr="002C72BC">
        <w:t>were performed at t</w:t>
      </w:r>
      <w:r w:rsidR="000B129F">
        <w:t>he University of Massachusetts using</w:t>
      </w:r>
      <w:r w:rsidR="002C72BC" w:rsidRPr="002C72BC">
        <w:t xml:space="preserve"> an on-line carbonate preparation system linked to a Finnigan Delta Plus XL ratio mass spectrometer.  Results are reported as the per mil difference between sample and the Vienna Pee Dee Belemnite standard in delta notation where </w:t>
      </w:r>
      <w:r w:rsidR="002C72BC" w:rsidRPr="000B129F">
        <w:rPr>
          <w:rFonts w:ascii="Symbol" w:hAnsi="Symbol"/>
        </w:rPr>
        <w:t></w:t>
      </w:r>
      <w:r w:rsidR="002C72BC" w:rsidRPr="002C72BC">
        <w:rPr>
          <w:vertAlign w:val="superscript"/>
        </w:rPr>
        <w:t>18</w:t>
      </w:r>
      <w:r w:rsidR="002C72BC" w:rsidRPr="002C72BC">
        <w:t>O = (R</w:t>
      </w:r>
      <w:r w:rsidR="002C72BC" w:rsidRPr="002C72BC">
        <w:rPr>
          <w:vertAlign w:val="subscript"/>
        </w:rPr>
        <w:t>sample</w:t>
      </w:r>
      <w:r w:rsidR="002C72BC" w:rsidRPr="002C72BC">
        <w:t>/R</w:t>
      </w:r>
      <w:r w:rsidR="002C72BC" w:rsidRPr="002C72BC">
        <w:rPr>
          <w:vertAlign w:val="subscript"/>
        </w:rPr>
        <w:t>standard</w:t>
      </w:r>
      <w:r w:rsidR="002C72BC" w:rsidRPr="002C72BC">
        <w:t xml:space="preserve"> -1)*1000, and R is the ratio of the minor to </w:t>
      </w:r>
      <w:r w:rsidR="002C72BC" w:rsidRPr="002C72BC">
        <w:lastRenderedPageBreak/>
        <w:t xml:space="preserve">the major isotope.  Reproducibility of the standard materials is </w:t>
      </w:r>
      <w:r w:rsidR="000B129F">
        <w:t xml:space="preserve">better than </w:t>
      </w:r>
      <w:r w:rsidR="002C72BC" w:rsidRPr="002C72BC">
        <w:t>0.1‰.</w:t>
      </w:r>
      <w:r w:rsidR="00835952">
        <w:t xml:space="preserve"> Values are reported relative to the VPDB standard.</w:t>
      </w:r>
    </w:p>
    <w:p w14:paraId="51E6274E" w14:textId="77777777" w:rsidR="00BE319E" w:rsidRPr="002C72BC" w:rsidRDefault="00BE319E" w:rsidP="00B90AF7">
      <w:pPr>
        <w:spacing w:line="480" w:lineRule="auto"/>
      </w:pPr>
    </w:p>
    <w:p w14:paraId="47287BD7" w14:textId="057EABAA" w:rsidR="000C3084" w:rsidRPr="00976E10" w:rsidRDefault="00BE319E" w:rsidP="00B90AF7">
      <w:pPr>
        <w:spacing w:line="480" w:lineRule="auto"/>
        <w:rPr>
          <w:b/>
        </w:rPr>
      </w:pPr>
      <w:r>
        <w:rPr>
          <w:b/>
        </w:rPr>
        <w:t xml:space="preserve">3 </w:t>
      </w:r>
      <w:r w:rsidR="00212A84" w:rsidRPr="00976E10">
        <w:rPr>
          <w:b/>
        </w:rPr>
        <w:t>Results</w:t>
      </w:r>
    </w:p>
    <w:p w14:paraId="560DBA1B" w14:textId="100B4D26" w:rsidR="00A6082A" w:rsidRDefault="00A6082A" w:rsidP="00B90AF7">
      <w:pPr>
        <w:spacing w:line="480" w:lineRule="auto"/>
      </w:pPr>
      <w:r>
        <w:t>Results of U/Th isotopic analyses (Table 1) show that stalagm</w:t>
      </w:r>
      <w:r w:rsidR="006B5A4B">
        <w:t>ite P10-H1 grew from about 125.5</w:t>
      </w:r>
      <w:r>
        <w:t xml:space="preserve"> to 115.2 ka. All age determinations are in stratigraphic order and </w:t>
      </w:r>
      <w:r w:rsidR="006B5A4B">
        <w:t>have errors on the order of 0.3</w:t>
      </w:r>
      <w:r>
        <w:t xml:space="preserve">%. </w:t>
      </w:r>
      <w:r w:rsidR="006B5A4B">
        <w:t xml:space="preserve"> </w:t>
      </w:r>
      <w:r>
        <w:t>An age model for the oxygen stable isotope times series was constructed using linear interpolation between each age determination and is shown in Figure 1.</w:t>
      </w:r>
    </w:p>
    <w:p w14:paraId="11A40562" w14:textId="77777777" w:rsidR="00835952" w:rsidRDefault="00835952" w:rsidP="00B90AF7">
      <w:pPr>
        <w:spacing w:line="480" w:lineRule="auto"/>
      </w:pPr>
    </w:p>
    <w:p w14:paraId="4BFD6A54" w14:textId="30E4294B" w:rsidR="003E3B21" w:rsidRDefault="00835952" w:rsidP="00B90AF7">
      <w:pPr>
        <w:spacing w:line="480" w:lineRule="auto"/>
      </w:pPr>
      <w:r>
        <w:t>The oxygen</w:t>
      </w:r>
      <w:r w:rsidR="003E3B21">
        <w:t xml:space="preserve"> isotope time series is shown in Figure 2, plotted together with data over the same interval from Hulu Cave in central China </w:t>
      </w:r>
      <w:r w:rsidR="00053ECB">
        <w:fldChar w:fldCharType="begin"/>
      </w:r>
      <w:r w:rsidR="00B61709">
        <w:instrText xml:space="preserve"> ADDIN ZOTERO_ITEM CSL_CITATION {"citationID":"24eo22e81k","properties":{"formattedCitation":"(Kelly et al., 2006)","plainCitation":"(Kelly et al., 2006)"},"citationItems":[{"id":453,"uris":["http://zotero.org/users/local/ylr7WDKU/items/JFTKEPSN"],"uri":["http://zotero.org/users/local/ylr7WDKU/items/JFTKEPSN"],"itemData":{"id":453,"type":"article-journal","title":"High resolution characterization of the Asian Monsoon between 146,000 and 99,000 years BP from Dongge Cave, China and global correlation of events surrounding Termination II","container-title":"Palaeogeography, Palaeoclimatology, Palaeoecology","page":"20–38","volume":"236","issue":"1","source":"Google Scholar","author":[{"family":"Kelly","given":"M. J."},{"family":"Edwards","given":"R. L."},{"family":"Cheng","given":"H."},{"family":"Yuan","given":"D."},{"family":"Cai","given":"Y."},{"family":"Zhang","given":"M."},{"family":"Lin","given":"Y."},{"family":"An","given":"Z."}],"issued":{"date-parts":[["2006"]]},"accessed":{"date-parts":[["2012",9,5]]}}}],"schema":"https://github.com/citation-style-language/schema/raw/master/csl-citation.json"} </w:instrText>
      </w:r>
      <w:r w:rsidR="00053ECB">
        <w:fldChar w:fldCharType="separate"/>
      </w:r>
      <w:r w:rsidR="00053ECB">
        <w:rPr>
          <w:noProof/>
        </w:rPr>
        <w:t>(Kelly et al., 2006)</w:t>
      </w:r>
      <w:r w:rsidR="00053ECB">
        <w:fldChar w:fldCharType="end"/>
      </w:r>
      <w:r w:rsidR="003E3B21">
        <w:t xml:space="preserve">. The </w:t>
      </w:r>
      <w:r w:rsidR="003E3B21" w:rsidRPr="003E3B21">
        <w:rPr>
          <w:rFonts w:ascii="Symbol" w:hAnsi="Symbol"/>
        </w:rPr>
        <w:t></w:t>
      </w:r>
      <w:r w:rsidR="003E3B21" w:rsidRPr="003E3B21">
        <w:rPr>
          <w:vertAlign w:val="superscript"/>
        </w:rPr>
        <w:t>18</w:t>
      </w:r>
      <w:r w:rsidR="00FC224E">
        <w:t>O values for P10-H1</w:t>
      </w:r>
      <w:r w:rsidR="003E3B21">
        <w:t xml:space="preserve"> range from -12.3 </w:t>
      </w:r>
      <w:r w:rsidR="003E3B21" w:rsidRPr="002C72BC">
        <w:t>‰</w:t>
      </w:r>
      <w:r w:rsidR="003E3B21">
        <w:t xml:space="preserve"> to -17.1 </w:t>
      </w:r>
      <w:r w:rsidR="003E3B21" w:rsidRPr="002C72BC">
        <w:t>‰</w:t>
      </w:r>
      <w:r w:rsidR="003E3B21">
        <w:t xml:space="preserve">. </w:t>
      </w:r>
      <w:r w:rsidR="00FC224E">
        <w:t xml:space="preserve">From 125 to123 ka the values are centered on -13.5 </w:t>
      </w:r>
      <w:r w:rsidR="00FC224E" w:rsidRPr="002C72BC">
        <w:t>‰</w:t>
      </w:r>
      <w:r w:rsidR="00FC224E">
        <w:t>, then increase to between -12.5 to -</w:t>
      </w:r>
      <w:r w:rsidR="00321528">
        <w:t>13 from 123 to 121 ka. At 120.8</w:t>
      </w:r>
      <w:r w:rsidR="00FC224E">
        <w:t xml:space="preserve"> ka, values decrease by more than 1 </w:t>
      </w:r>
      <w:r w:rsidR="00FC224E" w:rsidRPr="002C72BC">
        <w:t>‰</w:t>
      </w:r>
      <w:r w:rsidR="00FC224E">
        <w:t xml:space="preserve"> in </w:t>
      </w:r>
      <w:r w:rsidR="00A95950">
        <w:t xml:space="preserve">about 120 y. </w:t>
      </w:r>
      <w:r w:rsidR="00FC4CA4">
        <w:t xml:space="preserve"> </w:t>
      </w:r>
      <w:r w:rsidR="00A95950">
        <w:t xml:space="preserve">They continue to decrease more slowly over the next 4 ky to around -15.5 </w:t>
      </w:r>
      <w:r w:rsidR="00A95950" w:rsidRPr="002C72BC">
        <w:t>‰</w:t>
      </w:r>
      <w:r w:rsidR="00A95950">
        <w:t xml:space="preserve">, show a short-lived, about 75 years in duration, increase of around 0.75 </w:t>
      </w:r>
      <w:r w:rsidR="00A95950" w:rsidRPr="002C72BC">
        <w:t>‰</w:t>
      </w:r>
      <w:r w:rsidR="00A95950">
        <w:t xml:space="preserve">, then, at 116.8 ka again decrease rapidly to values between -16 to -17 </w:t>
      </w:r>
      <w:r w:rsidR="00A95950" w:rsidRPr="002C72BC">
        <w:t>‰</w:t>
      </w:r>
      <w:r w:rsidR="00A95950">
        <w:t xml:space="preserve"> for the remainder of the record.</w:t>
      </w:r>
      <w:r w:rsidR="00422B62">
        <w:t xml:space="preserve"> </w:t>
      </w:r>
      <w:r w:rsidR="00212A84">
        <w:t xml:space="preserve">The second rapid decrease occurs over about 150 y. </w:t>
      </w:r>
      <w:r w:rsidR="00FC4CA4">
        <w:t xml:space="preserve"> </w:t>
      </w:r>
      <w:r w:rsidR="00422B62">
        <w:t xml:space="preserve">We note that a </w:t>
      </w:r>
      <w:r w:rsidR="006004E7">
        <w:t>cross plot</w:t>
      </w:r>
      <w:r w:rsidR="00422B62">
        <w:t xml:space="preserve"> of oxygen versus carbon stable iso</w:t>
      </w:r>
      <w:r w:rsidR="00A77D4F">
        <w:t>tope ratios for P10-H1</w:t>
      </w:r>
      <w:r w:rsidR="006B5A4B">
        <w:t xml:space="preserve"> h</w:t>
      </w:r>
      <w:r w:rsidR="00422B62">
        <w:t>as a correlation coefficient (r</w:t>
      </w:r>
      <w:r w:rsidR="00422B62" w:rsidRPr="00422B62">
        <w:rPr>
          <w:vertAlign w:val="superscript"/>
        </w:rPr>
        <w:t>2</w:t>
      </w:r>
      <w:r w:rsidR="00422B62">
        <w:t>) of 0.06.</w:t>
      </w:r>
    </w:p>
    <w:p w14:paraId="5C6F3427" w14:textId="434BB82F" w:rsidR="00835952" w:rsidRDefault="00835952" w:rsidP="00B90AF7">
      <w:pPr>
        <w:spacing w:line="480" w:lineRule="auto"/>
      </w:pPr>
    </w:p>
    <w:p w14:paraId="76ED4E71" w14:textId="77777777" w:rsidR="00C11CE7" w:rsidRDefault="00C11CE7" w:rsidP="00B90AF7">
      <w:pPr>
        <w:spacing w:line="480" w:lineRule="auto"/>
      </w:pPr>
    </w:p>
    <w:p w14:paraId="67A98F79" w14:textId="77777777" w:rsidR="00A6082A" w:rsidRDefault="00A6082A" w:rsidP="00B90AF7">
      <w:pPr>
        <w:spacing w:line="480" w:lineRule="auto"/>
      </w:pPr>
    </w:p>
    <w:p w14:paraId="68E9C04C" w14:textId="77777777" w:rsidR="00862167" w:rsidRDefault="00862167" w:rsidP="00B90AF7">
      <w:pPr>
        <w:spacing w:line="480" w:lineRule="auto"/>
      </w:pPr>
    </w:p>
    <w:p w14:paraId="35053440" w14:textId="77777777" w:rsidR="00DA6C5F" w:rsidRDefault="00DA6C5F" w:rsidP="00B90AF7">
      <w:pPr>
        <w:spacing w:line="480" w:lineRule="auto"/>
      </w:pPr>
    </w:p>
    <w:p w14:paraId="4093E266" w14:textId="157CF607" w:rsidR="00A6082A" w:rsidRDefault="008B0AB7" w:rsidP="00B90AF7">
      <w:pPr>
        <w:spacing w:line="480" w:lineRule="auto"/>
        <w:rPr>
          <w:b/>
        </w:rPr>
      </w:pPr>
      <w:r w:rsidRPr="00976E10">
        <w:rPr>
          <w:b/>
        </w:rPr>
        <w:t xml:space="preserve">4 </w:t>
      </w:r>
      <w:r w:rsidR="00C866DA" w:rsidRPr="00976E10">
        <w:rPr>
          <w:b/>
        </w:rPr>
        <w:t>Discussion</w:t>
      </w:r>
    </w:p>
    <w:p w14:paraId="75F723DC" w14:textId="1C4972B7" w:rsidR="008B0AB7" w:rsidRPr="00976E10" w:rsidRDefault="008B0AB7" w:rsidP="00B90AF7">
      <w:pPr>
        <w:spacing w:line="480" w:lineRule="auto"/>
        <w:rPr>
          <w:b/>
        </w:rPr>
      </w:pPr>
      <w:r>
        <w:rPr>
          <w:b/>
        </w:rPr>
        <w:t>4.1 Interpretation of Oxygen Isotope Variability</w:t>
      </w:r>
    </w:p>
    <w:p w14:paraId="53B826F3" w14:textId="1E39AC72" w:rsidR="006B5699" w:rsidRDefault="00C866DA" w:rsidP="00B90AF7">
      <w:pPr>
        <w:spacing w:line="480" w:lineRule="auto"/>
      </w:pPr>
      <w:r>
        <w:t xml:space="preserve">The oxygen isotope ratios of speleothem calcite </w:t>
      </w:r>
      <w:r w:rsidR="0028440A">
        <w:t>primarily reflect changes in the oxygen isotope</w:t>
      </w:r>
      <w:r w:rsidR="000E41DA">
        <w:t xml:space="preserve"> ratio of local precipitation </w:t>
      </w:r>
      <w:r w:rsidR="000E41DA">
        <w:fldChar w:fldCharType="begin"/>
      </w:r>
      <w:r w:rsidR="00B61709">
        <w:instrText xml:space="preserve"> ADDIN ZOTERO_ITEM CSL_CITATION {"citationID":"nhf89mjig","properties":{"formattedCitation":"(Fairchild et al., 2006)","plainCitation":"(Fairchild et al., 2006)"},"citationItems":[{"id":340,"uris":["http://zotero.org/users/local/ylr7WDKU/items/ZM2T73WS"],"uri":["http://zotero.org/users/local/ylr7WDKU/items/ZM2T73WS"],"itemData":{"id":340,"type":"article-journal","title":"Modification and preservation of environmental signals in speleothems","container-title":"EARTH-SCIENCE REVIEWS","page":"105-153","volume":"75","issue":"1-4","abstract":"Speleothems are primarily studied in order to generate archives of climatic change and results have led to significant advances in identifying and dating major shifts in the climate system. However, the climatological meaning of many speleothem records cannot be interpreted unequivocally, this is particularly so for more subtle shifts and shorter time periods, but the use of multiple proxies and improving understanding of formation mechanisms offers a clear way forward. An explicit description of speleothem records as time series draws attention to the nature and importance of the signal filtering processes by which the weather, the seasons, and longer-term climatic and other environmental fluctuations become encoded in speleothems. We distinguish five sources of variation that influence speleothem geochemistry, i.e. atmospheric, vegetation/soil, karstic aquifer, primary speleothem crystal growth and secondary alteration, and give specific examples of their influence. The direct role of climate diminishes progressively through these five factors. We identify and review a number of processes identified in recent and current work that bear significantly on the conventional interpretation of speleothem records, for example: (1) speleothem geochemistry can vary seasonally and hence a research need is to establish the proportion of growth attributable to different seasons and whether this varies over time; (2) whereas there has traditionally been a focus on monthly mean delta(18)O data of atmospheric moisture, current work emphasizes the importance of understanding the synoptic processes that lead to characteristic isotope signals, since changing relative abundance of different weather types might control their variation on the longer-term; (3) the ecosystem and soil zone overlying the cave fundamentally imprint the carbon and trace element signals and can show characteristic variations with time; (4) new modelling on aquifer plumbing allows quantification of the effects of aquifer mixing; (5) recent work has emphasized the importance and seasonal variability Of CO(2)-degassing leading to calcite precipitation upflow of a depositional site on carbon isotope and trace element composition of speleothems; (6) although much is known about the chemical partitioning between water and stalagmites, variability in relation to crystal growth mechanisms and kinetics is a research frontier; (7) aragonite is susceptible to conversion to calcite with major loss of chemical information, but the controls on the rate of this process are obscure. Analytical factors are critical in generating high-resolution speleothem records. A variety of methods of trace element analysis is available, but standardization is a common problem with the most rapid methods. New stable isotope data on Irish stalagmite CC3 compares rapid laser-ablation techniques with the conventional analysis of micromilled powders and ion microprobe methods. A high degree of comparability between techniques for delta(18)O is found on the millimeter to centimeter scale, but a previously described high-amplitude oxygen isotope excursion around 8.3 ka is identified as an analytical artefact related to fractionation of the laser-analysis associated with sample cracking. High-frequency variability of not less than 0.5 parts per thousand may be an inherent feature of speleothem delta(18)O records. (c) 2005 Elsevier B.V. All rights reserved.","DOI":"10.1016/j.earscirev.2005.08.003","ISSN":"0012-8252","note":"2nd Meeting on Isotopes in Palaeoenvironmental Reconstruction, British Geol Survey, Nottingham, ENGLAND, NOV, 2004","language":"English","author":[{"family":"Fairchild","given":"IJ"},{"family":"Smith","given":"CL"},{"family":"Baker","given":"A"},{"family":"Fuller","given":"L"},{"family":"Spotl","given":"C"},{"family":"Mattey","given":"D"},{"family":"McDermott","given":"F"},{"family":"EIMP","given":""}],"issued":{"date-parts":[["2006",3]]}}}],"schema":"https://github.com/citation-style-language/schema/raw/master/csl-citation.json"} </w:instrText>
      </w:r>
      <w:r w:rsidR="000E41DA">
        <w:fldChar w:fldCharType="separate"/>
      </w:r>
      <w:r w:rsidR="000E41DA">
        <w:rPr>
          <w:noProof/>
        </w:rPr>
        <w:t>(Fairchild et al., 2006</w:t>
      </w:r>
      <w:r w:rsidR="000E41DA">
        <w:fldChar w:fldCharType="end"/>
      </w:r>
      <w:r w:rsidR="009E5A48">
        <w:t xml:space="preserve">; </w:t>
      </w:r>
      <w:r w:rsidR="000E41DA">
        <w:fldChar w:fldCharType="begin"/>
      </w:r>
      <w:r w:rsidR="00B61709">
        <w:instrText xml:space="preserve"> ADDIN ZOTERO_ITEM CSL_CITATION {"citationID":"1aa4l6kugj","properties":{"formattedCitation":"(Lachniet, 2009)","plainCitation":"(Lachniet, 2009)"},"citationItems":[{"id":374,"uris":["http://zotero.org/users/local/ylr7WDKU/items/B2TMZF68"],"uri":["http://zotero.org/users/local/ylr7WDKU/items/B2TMZF68"],"itemData":{"id":374,"type":"article-journal","title":"Climatic and environmental controls on speleothem oxygen-isotope values","container-title":"QUATERNARY SCIENCE REVIEWS","page":"412-432","volume":"28","issue":"5-6","abstract":"Variations in speleothem oxygen-isotope values (delta(18)O) result from a complicated interplay of environmental controls and processes in the ocean, atmosphere, soil zone, epikarst, and cave system. As such, the controls on speleothem delta(18)O values are extremely complex. An understanding of the processes that control equilibrium and kinetic fractionation of oxygen isotopes in water and carbonate species is essential for the proper interpretation of speleothem delta(18)O as paleoclimate and paleoenvironmental proxies, and is best complemented by study of site-specific cave processes such as infiltration, flow routing, drip seasonality and saturation state, and cave microclimate, among others. This review is a process-based summary of the multiple controls on delta(18)O in the atmosphere, soil, epikarst. and speleothem calcite, illustrated with case studies. Primary controls of delta(18)O in the atmosphere include temperature and relative humidity through their role in the multiple isotope “effects”. Variability and modifications of water delta(18)O values in the soil and epikarst zones are dominated by evaporation, mixing, and infiltration of source waters. The isotopically effective recharge into a cave system consists of those waters that participate in precipitation of CaCO(3), resulting in calcite deposition rates which may be biased to time periods with optimal dripwater saturation state. Recent modeling, experimental, and observational data yield insight into the significance of kinetic fractionation between dissolved carbonate phases and solid CaCO(3), and have implications for the `Hendy' test. To assist interpretation of speleothem delta(18)O time series, quantitative and semi-quantitative delta(18)O-Climate calibrations are discussed with an emphasis on some of the difficulties inherent in using modern spatial and temporal isotope gradients to interpret speleothems as paleoclimate proxy records. Finally, several case studies of globally significant speleothem paleoclimate records are discussed that show the utility of delta(18)O to reconstruct past climate changes in regions that have been typically poorly represented in paleoclimate records, such as tropical and subtropical terrestrial locations. The new approach to speleothem paleoclimatology emphasizes climate teleconnections between regions and attribution of forcing mechanisms. Such investigations allow paleoclimatologists to infer regional to global-scale climate dynamics. (C) 2008 Elsevier Ltd. All rights reserved.","DOI":"10.1016/j.quascirev.2008.10.021","ISSN":"0277-3791","language":"English","author":[{"family":"Lachniet","given":"Matthew S."}],"issued":{"date-parts":[["2009",3]]}}}],"schema":"https://github.com/citation-style-language/schema/raw/master/csl-citation.json"} </w:instrText>
      </w:r>
      <w:r w:rsidR="000E41DA">
        <w:fldChar w:fldCharType="separate"/>
      </w:r>
      <w:r w:rsidR="000E41DA">
        <w:rPr>
          <w:noProof/>
        </w:rPr>
        <w:t>Lachniet, 2009)</w:t>
      </w:r>
      <w:r w:rsidR="000E41DA">
        <w:fldChar w:fldCharType="end"/>
      </w:r>
      <w:r w:rsidR="0028440A">
        <w:t xml:space="preserve">, though factors such as </w:t>
      </w:r>
      <w:r w:rsidR="00295FC8">
        <w:t xml:space="preserve">kinetic isotope effects during calcite precipitation, </w:t>
      </w:r>
      <w:r>
        <w:t xml:space="preserve">cave temperature, </w:t>
      </w:r>
      <w:r w:rsidR="0028440A">
        <w:t xml:space="preserve">and </w:t>
      </w:r>
      <w:r>
        <w:t>the isotopic composition of the water vapor source</w:t>
      </w:r>
      <w:r w:rsidR="0028440A">
        <w:t xml:space="preserve"> </w:t>
      </w:r>
      <w:r w:rsidR="00295FC8">
        <w:t>may also be important</w:t>
      </w:r>
      <w:r w:rsidR="0028440A">
        <w:t>.</w:t>
      </w:r>
      <w:r w:rsidR="00295FC8">
        <w:t xml:space="preserve"> We consider these latter three factors first.</w:t>
      </w:r>
      <w:r w:rsidR="0028440A">
        <w:t xml:space="preserve"> </w:t>
      </w:r>
      <w:r w:rsidR="00295FC8">
        <w:t>Kinetic isotope effects are probabl</w:t>
      </w:r>
      <w:r w:rsidR="00AE12FD">
        <w:t xml:space="preserve">y present in all speleothems </w:t>
      </w:r>
      <w:r w:rsidR="007A0B06">
        <w:fldChar w:fldCharType="begin"/>
      </w:r>
      <w:r w:rsidR="00B61709">
        <w:instrText xml:space="preserve"> ADDIN ZOTERO_ITEM CSL_CITATION {"citationID":"21icl4v8a6","properties":{"formattedCitation":"{\\rtf (Da\\uc0\\u235{}ron et al., 2011)}","plainCitation":"(Daëron et al., 2011)"},"citationItems":[{"id":580,"uris":["http://zotero.org/users/local/ylr7WDKU/items/VBHBURQF"],"uri":["http://zotero.org/users/local/ylr7WDKU/items/VBHBURQF"],"itemData":{"id":580,"type":"article-journal","title":"13C18O clumping in speleothems: Observations from natural caves and precipitation experiments","container-title":"Geochimica et Cosmochimica Acta","page":"3303-3317","volume":"75","issue":"12","source":"ScienceDirect","abstract":"The oxygen isotope composition of speleothems is an important proxy of continental paleoenvironments, because of its sensitivity to variations in cave temperature and drip water δ18O. Interpreting speleothem δ18O records in terms of absolute paleotemperatures and δ18O values of paleo-precipitation requires quantitative separation of the effects of these two parameters, and correcting for possible kinetic isotope fractionation associated with precipitation of calcite out of thermodynamic equilibrium. Carbonate clumped-isotope thermometry, based on measurements of Δ47 (a geochemical variable reflecting the statistical overabundance of 13C18O bonds in CO2 evolved from phosphoric acid digestion of carbonate minerals), potentially provides a method for absolute speleothem paleotemperature reconstructions independent of drip water composition. Application of this new technique to karst records is currently limited by the scarcity of published clumped-isotope studies of modern speleothems. The only modern stalagmite reported so far in the literature yielded a lower Δ47 value than expected for equilibrium precipitation, possibly due to kinetic isotope fractionation. Here we report Δ47 values measured in natural speleothems from various cave settings, in carbonate produced by cave precipitation experiments, and in synthetic stalagmite analogs precipitated in controlled laboratory conditions designed to mimic natural cave processes. All samples yield lower Δ47 and heavier δ18O values than predicted by experimental calibrations of thermodynamic equilibrium in inorganic calcite. The amplitudes of these isotopic disequilibria vary between samples, but there is clear correlation between the amount of Δ47 disequilibrium and that of δ18O. Even pool carbonates believed to offer excellent conditions for equilibrium precipitation of calcite display out-of-equilibrium δ18O and Δ47 values, probably inherited from prior degassing within the cave system. In addition to these modern observations, clumped-isotope analyses of a flowstone from Villars cave (France) offer evidence that the amount of disequilibrium affecting Δ47 in a single speleothem can experience large variations at time scales of 10 kyr. Application of clumped-isotope thermometry to speleothem records calls for an improved physical understanding of DIC fractionation processes in karst waters, and for the resolution of important issues regarding equilibrium calibration of Δ47 in inorganic carbonates.","DOI":"10.1016/j.gca.2010.10.032","ISSN":"0016-7037","shortTitle":"13C18O clumping in speleothems","journalAbbreviation":"Geochimica et Cosmochimica Acta","author":[{"family":"Daëron","given":"M."},{"family":"Guo","given":"W."},{"family":"Eiler","given":"J."},{"family":"Genty","given":"D."},{"family":"Blamart","given":"D."},{"family":"Boch","given":"R."},{"family":"Drysdale","given":"R."},{"family":"Maire","given":"R."},{"family":"Wainer","given":"K."},{"family":"Zanchetta","given":"G."}],"issued":{"date-parts":[["2011",6,15]]},"accessed":{"date-parts":[["2013",1,24]],"season":"16:42:06"}}}],"schema":"https://github.com/citation-style-language/schema/raw/master/csl-citation.json"} </w:instrText>
      </w:r>
      <w:r w:rsidR="007A0B06">
        <w:fldChar w:fldCharType="separate"/>
      </w:r>
      <w:r w:rsidR="007A0B06" w:rsidRPr="007A0B06">
        <w:rPr>
          <w:rFonts w:ascii="Cambria"/>
        </w:rPr>
        <w:t>(Daëron et al., 2011)</w:t>
      </w:r>
      <w:r w:rsidR="007A0B06">
        <w:fldChar w:fldCharType="end"/>
      </w:r>
      <w:r w:rsidR="00AE12FD">
        <w:t xml:space="preserve">, yet </w:t>
      </w:r>
      <w:r w:rsidR="007A0B06">
        <w:t xml:space="preserve">kinetic effects can be minimized by sampling </w:t>
      </w:r>
      <w:r w:rsidR="0062763B">
        <w:t xml:space="preserve">at the center of the stalagmite growth axis </w:t>
      </w:r>
      <w:r w:rsidR="0062763B">
        <w:fldChar w:fldCharType="begin"/>
      </w:r>
      <w:r w:rsidR="00B61709">
        <w:instrText xml:space="preserve"> ADDIN ZOTERO_ITEM CSL_CITATION {"citationID":"8juff6otc","properties":{"formattedCitation":"(Dreybrodt, 2008)","plainCitation":"(Dreybrodt, 2008)"},"citationItems":[{"id":586,"uris":["http://zotero.org/users/local/ylr7WDKU/items/VNH8A3W2"],"uri":["http://zotero.org/users/local/ylr7WDKU/items/VNH8A3W2"],"itemData":{"id":586,"type":"article-journal","title":"Evolution of the isotopic composition of carbon and oxygen in a calcite precipitating H2O–CO2–CaCO3 solution and the related isotopic composition of calcite in stalagmites","container-title":"Geochimica et Cosmochimica Acta","page":"4712-4724","volume":"72","issue":"19","source":"ScienceDirect","abstract":"The isotopic composition of carbon and oxygen in a calcite precipitating CO2–H2O–CaCO3 solution is preserved in the calcite precipitated. For the interpretation of isotopic proxies from stalagmites knowledge of the evolution of δ13C and δ18O in the solution during precipitation is required. A system of differential equations is presented from which this evolution can be derived. Both, irreversible loss of carbon and oxygen from the solution with precipitation time τ and exchange of oxygen in the carbonates with the oxygen in the water with exchange time T are considered. For carbon, where no exchange is active, a modified equation of Rayleigh-distillation is found, which takes into account that precipitation stops at ceq, the saturation concentration of DIC with respect to calcite, and that ceq as well as the precipitation time τ is slightly different for the heavy and the light isotope. This, however, requires introducing a new parameter γ = (Aeq/Beq)/(A0/B0), which has to be determined experimentally. (Aeq/Beq) is the isotopic ratio for the heavy (A) and the light isotope (B) at both chemical and i</w:instrText>
      </w:r>
      <w:r w:rsidR="00B61709">
        <w:rPr>
          <w:rFonts w:hint="eastAsia"/>
        </w:rPr>
        <w:instrText xml:space="preserve">sotopic equilibrium and (A0/B0) is the initial isotopic ratio of the solution. In the case of oxygen, where exchange is present, the isotopic shifts are reduced with increasing values of the precipitation time </w:instrText>
      </w:r>
      <w:r w:rsidR="00B61709">
        <w:rPr>
          <w:rFonts w:hint="eastAsia"/>
        </w:rPr>
        <w:instrText>τ</w:instrText>
      </w:r>
      <w:r w:rsidR="00B61709">
        <w:rPr>
          <w:rFonts w:hint="eastAsia"/>
        </w:rPr>
        <w:instrText xml:space="preserve">. For </w:instrText>
      </w:r>
      <w:r w:rsidR="00B61709">
        <w:rPr>
          <w:rFonts w:hint="eastAsia"/>
        </w:rPr>
        <w:instrText>τ</w:instrText>
      </w:r>
      <w:r w:rsidR="00B61709">
        <w:rPr>
          <w:rFonts w:hint="eastAsia"/>
        </w:rPr>
        <w:instrText xml:space="preserve"> </w:instrText>
      </w:r>
      <w:r w:rsidR="00B61709">
        <w:rPr>
          <w:rFonts w:hint="eastAsia"/>
        </w:rPr>
        <w:instrText>≫</w:instrText>
      </w:r>
      <w:r w:rsidR="00B61709">
        <w:rPr>
          <w:rFonts w:hint="eastAsia"/>
        </w:rPr>
        <w:instrText xml:space="preserve"> T the solution stays in isotopic e</w:instrText>
      </w:r>
      <w:r w:rsidR="00B61709">
        <w:instrText xml:space="preserve">quilibrium with the oxygen in the water during the entire time in which precipitation is active. The isotopic ratios in a calcite precipitating solution R(t)/R0 = (1 + δ(t)/1000) for carbon are plotted versus those of oxygen. R0 is the isotopic ratio at time t = 0, when precipitation starts and δ(t) the isotopic shift in the solution after time t. These show positive correlations for the first 50% of calcite, which can precipitate. Their slopes increase with increasing values of τ and they closely resemble Hendy-tests performed along growth layers of stalagmites. Our results show that stalagmites, which grow by high supply of water with drip times less than 50 s, exhibit positive correlations between δ13C and δ18O along a growth layer. But in spite of this the isotopic composition of oxygen in the solution at the apex is in isotopic equilibrium with the oxygen in the water, and therefore also that of calcite deposited at the apex.","DOI":"10.1016/j.gca.2008.07.022","ISSN":"0016-7037","journalAbbreviation":"Geochimica et Cosmochimica Acta","author":[{"family":"Dreybrodt","given":"Wolfgang"}],"issued":{"date-parts":[["2008",10,1]]},"accessed":{"date-parts":[["2013",1,24]],"season":"16:51:33"}}}],"schema":"https://github.com/citation-style-language/schema/raw/master/csl-citation.json"} </w:instrText>
      </w:r>
      <w:r w:rsidR="0062763B">
        <w:fldChar w:fldCharType="separate"/>
      </w:r>
      <w:r w:rsidR="0062763B">
        <w:rPr>
          <w:noProof/>
        </w:rPr>
        <w:t>(Dreybrodt, 2008)</w:t>
      </w:r>
      <w:r w:rsidR="0062763B">
        <w:fldChar w:fldCharType="end"/>
      </w:r>
      <w:r w:rsidR="009E5A48">
        <w:t>, which was done here</w:t>
      </w:r>
      <w:r w:rsidR="0062763B">
        <w:t xml:space="preserve">. </w:t>
      </w:r>
      <w:r w:rsidR="009E5A48">
        <w:t xml:space="preserve"> </w:t>
      </w:r>
      <w:r w:rsidR="004263B2">
        <w:t>Another test of whether kinetic effects are important is the 'He</w:t>
      </w:r>
      <w:r w:rsidR="00893E9F">
        <w:t xml:space="preserve">ndy test' </w:t>
      </w:r>
      <w:r w:rsidR="00893E9F">
        <w:fldChar w:fldCharType="begin"/>
      </w:r>
      <w:r w:rsidR="00B61709">
        <w:instrText xml:space="preserve"> ADDIN ZOTERO_ITEM CSL_CITATION {"citationID":"2u867dsfo","properties":{"formattedCitation":"(Hendy, 1971)","plainCitation":"(Hendy, 1971)"},"citationItems":[{"id":519,"uris":["http://zotero.org/users/local/ylr7WDKU/items/R42CEHFC"],"uri":["http://zotero.org/users/local/ylr7WDKU/items/R42CEHFC"],"itemData":{"id":519,"type":"article-journal","title":"The isotopic geochemistry of speleothems—I. The calculation of the effects of different modes of formation on the isotopic composition of speleothems and their applicability as palaeoclimatic indicators","container-title":"Geochimica et Cosmochimica Acta","page":"801-824","volume":"35","issue":"8","source":"ScienceDirect","abstract":"The effects of different modes of formation on the isotopic composition of speleothems has been examined to delineate the conditions under which they may be used to give palaeo-climatic data. The modes of deposition considered were: equilibrium loss of CO2, kinetic loss of CO2, and evaporation of water. If isotopic equilibrium is maintained between HCO3− and CO2(aq) the calcite precipitated will be in isotopic equilibrium with the water and variations in 18O16O will depend on climate alone, variations in 13C12C will be independent of climate. This will occur if the loss of CO2 from solution is slow. If loss of CO2 is rapid a kinetic fractionation will occur between HCO3− and CO2(aq) and the calcite precipitated will show a simultaneous enrichment in 13C and 18O. If evaporation of water occurs the calcite precipitated will be enriched in 18O and will be close to 13C and 14C equilibrium with the cave atmosphere. Speleothems deposited under conditions of kinetic loss of CO2 or evaporation of water cannot be used to give palaeoclimate data.","DOI":"10.1016/0016-7037(71)90127-X","ISSN":"0016-7037","journalAbbreviation":"Geochimica et Cosmochimica Acta","author":[{"family":"Hendy","given":"C.H"}],"issued":{"date-parts":[["1971",8]]},"accessed":{"date-parts":[["2012",9,26]]}}}],"schema":"https://github.com/citation-style-language/schema/raw/master/csl-citation.json"} </w:instrText>
      </w:r>
      <w:r w:rsidR="00893E9F">
        <w:fldChar w:fldCharType="separate"/>
      </w:r>
      <w:r w:rsidR="00893E9F">
        <w:rPr>
          <w:noProof/>
        </w:rPr>
        <w:t>(Hendy, 1971)</w:t>
      </w:r>
      <w:r w:rsidR="00893E9F">
        <w:fldChar w:fldCharType="end"/>
      </w:r>
      <w:r w:rsidR="004263B2">
        <w:t>. For sample P10-H1, as noted, carbon and oxygen isotopic values along the growth axis are not correlated (r</w:t>
      </w:r>
      <w:r w:rsidR="004263B2" w:rsidRPr="004263B2">
        <w:rPr>
          <w:vertAlign w:val="superscript"/>
        </w:rPr>
        <w:t>2</w:t>
      </w:r>
      <w:r w:rsidR="004263B2">
        <w:t xml:space="preserve"> = 0.06)</w:t>
      </w:r>
      <w:r w:rsidR="00C040EB">
        <w:t xml:space="preserve">, indicating that kinetic effects are not the </w:t>
      </w:r>
      <w:r w:rsidR="00FE03A5">
        <w:t>an important</w:t>
      </w:r>
      <w:r w:rsidR="00C040EB">
        <w:t xml:space="preserve"> influence on oxygen isotope variations</w:t>
      </w:r>
      <w:r w:rsidR="004263B2">
        <w:t>.</w:t>
      </w:r>
    </w:p>
    <w:p w14:paraId="5601E70D" w14:textId="77777777" w:rsidR="006B5699" w:rsidRDefault="006B5699" w:rsidP="00B90AF7">
      <w:pPr>
        <w:spacing w:line="480" w:lineRule="auto"/>
      </w:pPr>
    </w:p>
    <w:p w14:paraId="4BBE10E3" w14:textId="6FC8C1EE" w:rsidR="00C866DA" w:rsidRDefault="0028440A" w:rsidP="00B90AF7">
      <w:pPr>
        <w:spacing w:line="480" w:lineRule="auto"/>
      </w:pPr>
      <w:r>
        <w:t xml:space="preserve">Figure 2 shows that the least negative </w:t>
      </w:r>
      <w:r w:rsidRPr="003E3B21">
        <w:rPr>
          <w:rFonts w:ascii="Symbol" w:hAnsi="Symbol"/>
        </w:rPr>
        <w:t></w:t>
      </w:r>
      <w:r w:rsidRPr="003E3B21">
        <w:rPr>
          <w:vertAlign w:val="superscript"/>
        </w:rPr>
        <w:t>18</w:t>
      </w:r>
      <w:r>
        <w:t xml:space="preserve">O values for P10-H1 occur from about 125-121 ka, during the penultimate interglacial period. The most negative values, about 4.8 </w:t>
      </w:r>
      <w:r w:rsidRPr="002C72BC">
        <w:t>‰</w:t>
      </w:r>
      <w:r>
        <w:t xml:space="preserve"> </w:t>
      </w:r>
      <w:r w:rsidR="001413FA">
        <w:t xml:space="preserve">lower, </w:t>
      </w:r>
      <w:r>
        <w:t>occur at about 115 ka, as earth's climate made the transition to the long glacial state that followed. Accompanying the transition</w:t>
      </w:r>
      <w:r w:rsidR="00295FC8">
        <w:t xml:space="preserve"> to a glacial climate, mean annual air </w:t>
      </w:r>
      <w:r>
        <w:t>t</w:t>
      </w:r>
      <w:r w:rsidR="006B5A4B">
        <w:t xml:space="preserve">emperatures likely decreased by, at most, </w:t>
      </w:r>
      <w:r>
        <w:t xml:space="preserve">5 </w:t>
      </w:r>
      <w:r w:rsidR="00B937B6">
        <w:rPr>
          <w:rFonts w:ascii="Cambria" w:hAnsi="Cambria"/>
        </w:rPr>
        <w:t>°</w:t>
      </w:r>
      <w:r>
        <w:t>C at the study site</w:t>
      </w:r>
      <w:r w:rsidR="001413FA">
        <w:t xml:space="preserve">, </w:t>
      </w:r>
      <w:r>
        <w:t xml:space="preserve">if we assume that the temperature change was </w:t>
      </w:r>
      <w:r w:rsidR="006B5A4B">
        <w:t xml:space="preserve">less than or </w:t>
      </w:r>
      <w:r>
        <w:t xml:space="preserve">similar to that estimated </w:t>
      </w:r>
      <w:r>
        <w:lastRenderedPageBreak/>
        <w:t>for the Last Glacial Maximum to Holocene transition</w:t>
      </w:r>
      <w:r w:rsidR="00555001">
        <w:t xml:space="preserve"> </w:t>
      </w:r>
      <w:r w:rsidR="00555001">
        <w:fldChar w:fldCharType="begin"/>
      </w:r>
      <w:r w:rsidR="00B61709">
        <w:instrText xml:space="preserve"> ADDIN ZOTERO_ITEM CSL_CITATION {"citationID":"ap6k23ij3","properties":{"formattedCitation":"(Porter, 2000)","plainCitation":"(Porter, 2000)"},"citationItems":[{"id":603,"uris":["http://zotero.org/users/local/ylr7WDKU/items/TRVTPT5D"],"uri":["http://zotero.org/users/local/ylr7WDKU/items/TRVTPT5D"],"itemData":{"id":603,"type":"article-journal","title":"Snowline depression in the tropics during the Last Glaciation","container-title":"Quaternary Science Reviews","page":"1067-1091","volume":"20","issue":"10","source":"ScienceDirect","abstract":"Five primary methods have been used to reconstruct Pleistocene snowlines or equilibrium-line altitudes (ELAs) in the tropics (23.5°N–23.5°S) during the last glaciation, but each has inherent errors that limit the accuracy of the results. Additional potential errors in determining ELA depression involve estimates of modern snowline altitude, dating resolution, topographic reconstruction of former glaciers, orographic effects, the presence of rockfall debris on glaciers, and calculation of regional ELA gradients. Eustatic sea-level lowering during the last glaciation is an additional factor influencing estimates of ELA depression (ΔELA). In cases where modern snowline lies above a mountain summit, only a minimum value for ΔELA can be obtained. At 12 tropical sites in Africa, the Americas (to 10°S latitude), and Pacific islands, estimates of average ΔELA range from 440 to 1400 m, but most fall in the range of 800–1000 m (mean ±1σ=900±135 m). In a regional study of ELA depression in the southern tropical Andes (8–22°S), an average ΔELA of ca 920±250 m has been reported. Based on the assumption that glacier mass balance was controlled solely by ablation-season temperature, and assuming a full-glacial temperature lapse rate of −6°C/km, depression of mean annual temperature in glaciated alpine areas was ca 5.4±0.8°C. If adjusted for a sea-level fall of −120 m at the glacial maximum, this value is reduced to 4.7±0.8°C. The figure is based on the (unlikely) assumption that accumulation on alpine glaciers has been invariant; nevertheless, it is similar to values of temperature depresson (5–6.4°C) for the last glaciation obtained from various terrestrial sites, but contrasts with tropical sea-surface temperature estimates that are only 1–3°C cooler than present.","DOI":"10.1016/S0277-3791(00)00178-5","ISSN":"0277-3791","journalAbbreviation":"Quaternary Science Reviews","author":[{"family":"Porter","given":"Stephen C"}],"issued":{"date-parts":[["2000"]]},"accessed":{"date-parts":[["2014",7,15]]}}}],"schema":"https://github.com/citation-style-language/schema/raw/master/csl-citation.json"} </w:instrText>
      </w:r>
      <w:r w:rsidR="00555001">
        <w:fldChar w:fldCharType="separate"/>
      </w:r>
      <w:r w:rsidR="00555001">
        <w:rPr>
          <w:noProof/>
        </w:rPr>
        <w:t>(Porter, 2000)</w:t>
      </w:r>
      <w:r w:rsidR="00555001">
        <w:fldChar w:fldCharType="end"/>
      </w:r>
      <w:r>
        <w:t xml:space="preserve">. </w:t>
      </w:r>
      <w:r w:rsidRPr="00C866DA">
        <w:t>Cooler cave temper</w:t>
      </w:r>
      <w:r w:rsidR="00295FC8">
        <w:t xml:space="preserve">atures </w:t>
      </w:r>
      <w:r w:rsidR="006B5699">
        <w:t xml:space="preserve">should lead to </w:t>
      </w:r>
      <w:r w:rsidRPr="00C866DA">
        <w:t xml:space="preserve">enriched </w:t>
      </w:r>
      <w:r w:rsidR="00295FC8">
        <w:t xml:space="preserve">oxygen </w:t>
      </w:r>
      <w:r w:rsidRPr="00C866DA">
        <w:t>isotope ratios</w:t>
      </w:r>
      <w:r w:rsidR="00295FC8">
        <w:t xml:space="preserve"> in calcite</w:t>
      </w:r>
      <w:r w:rsidR="006B5699">
        <w:t xml:space="preserve">, by about 1 </w:t>
      </w:r>
      <w:r w:rsidR="006B5699" w:rsidRPr="00C866DA">
        <w:t>‰</w:t>
      </w:r>
      <w:r w:rsidR="006B5699">
        <w:t>,</w:t>
      </w:r>
      <w:r w:rsidRPr="00C866DA">
        <w:t xml:space="preserve"> due to an increase in the</w:t>
      </w:r>
      <w:r w:rsidR="00295FC8">
        <w:t xml:space="preserve"> equilibrium</w:t>
      </w:r>
      <w:r w:rsidRPr="00C866DA">
        <w:t xml:space="preserve"> calcite-water isotopic fractionation </w:t>
      </w:r>
      <w:r w:rsidR="00EF1F34">
        <w:fldChar w:fldCharType="begin"/>
      </w:r>
      <w:r w:rsidR="00B61709">
        <w:instrText xml:space="preserve"> ADDIN ZOTERO_ITEM CSL_CITATION {"citationID":"2d87o1r98t","properties":{"formattedCitation":"{\\rtf (Kim and O\\uc0\\u8217{}Neil, 1997)}","plainCitation":"(Kim and O’Neil, 1997)"},"citationItems":[{"id":611,"uris":["http://zotero.org/users/local/ylr7WDKU/items/URPM6874"],"uri":["http://zotero.org/users/local/ylr7WDKU/items/URPM6874"],"itemData":{"id":611,"type":"article-journal","title":"Equilibrium and nonequilibrium oxygen isotope effects in synthetic carbonates","container-title":"Geochimica et Cosmochimica Acta","page":"3461-3475","volume":"61","issue":"16","source":"ScienceDirect","abstract":"A suite of divalent metal (Ca, Cd, Ba) carbonates was synthesized over the temperature range 10–40°C by the classical method of slowly bubbling N2 through a bicarbonate solution. It was discovered that carbonates could be precipitated reproducibly in or out of isotopic equilibrium with the environmental solution by varying the concentrations of bicarbonate and cation. Precipitation rate had little or no influence on the isotopic composition of the product. Relatively high initial concentrations of up to 25 mM in both bicarbonate and cation were prepared by adding solid metal chlorides to solutions of NaHC03. On the basis of results of equilibrium experiments and a new determination of the acid fractionation factor, a new expression is proposed for the oxygen isotope fractionation between calcite and water at low temperatures: 10001nα(Calcite-H2O) = 18.03(103T−1) − 32.42 where α is the fractionation factor, and T is in kelvins. Combining new data for low-temperature precipitations and the high-temperature equilibrium fractionations published by O'Neil et al. (1969) results in a revised expression for the oxygen isotope fractionation between octavite (CdCO3) and water from 0° to 500°C: 10001nα(CdC0P3H2O) = 2.76(106T−2) − 3.96\n\nThe ability to produce nonequilibrium carbonates allowed assessment to be made, for the first time, of the temperature dependence of nonequilibrium stable isotope fractionations in mineral systems. The temperature coefficients of a(carbonate-water) for nonequilibrium divalent metal carbonates are greater than those for equilibrium carbonates, a finding that may bear on the interpretation of analyses of biogenic carbonates forming out of isotopic equilibrium in nature.\n\nNew determinations of acid fractionation factors (10001nα) at 25°C for calcite (10.44 − 0.10), aragonite (11.01 ± 0.01), and witherite (10.57 − 0.16) are mildly to strongly different from those published by Sharma and Clayton (1965) and point to a control on this fractionation by some physical property of the mineral. Reproducible values for octavite (CdC03) varied from 11.18 to 13.60 depending on the conditions of preparation of the carbonate. These new values need to be considered in determinations of absolute 18801660 ratios of international reference standards and in relating analyses of carbonates to those of waters, silicates, and oxides.","DOI":"10.1016/S0016-7037(97)00169-5","ISSN":"0016-7037","journalAbbreviation":"Geochimica et Cosmochimica Acta","author":[{"family":"Kim","given":"Sang-Tae"},{"family":"O'Neil","given":"James R."}],"issued":{"date-parts":[["1997",8]]},"accessed":{"date-parts":[["2014",7,15]]}}}],"schema":"https://github.com/citation-style-language/schema/raw/master/csl-citation.json"} </w:instrText>
      </w:r>
      <w:r w:rsidR="00EF1F34">
        <w:fldChar w:fldCharType="separate"/>
      </w:r>
      <w:r w:rsidR="00EF1F34" w:rsidRPr="00EF1F34">
        <w:rPr>
          <w:rFonts w:ascii="Cambria"/>
        </w:rPr>
        <w:t>(Kim and O’Neil, 1997)</w:t>
      </w:r>
      <w:r w:rsidR="00EF1F34">
        <w:fldChar w:fldCharType="end"/>
      </w:r>
      <w:r w:rsidR="00EF1F34">
        <w:t>.</w:t>
      </w:r>
      <w:r w:rsidRPr="00C866DA">
        <w:t xml:space="preserve"> In addition, </w:t>
      </w:r>
      <w:r w:rsidR="003764C3">
        <w:t>the transition to a glacial climate resulted in</w:t>
      </w:r>
      <w:r w:rsidRPr="00C866DA">
        <w:t xml:space="preserve"> increased global ice volume and</w:t>
      </w:r>
      <w:r w:rsidR="003764C3">
        <w:t xml:space="preserve"> an increased oxygen isotope ratio</w:t>
      </w:r>
      <w:r w:rsidRPr="00C866DA">
        <w:t xml:space="preserve"> of seawater </w:t>
      </w:r>
      <w:r w:rsidR="00D74E59">
        <w:t>of around 0.5</w:t>
      </w:r>
      <w:r w:rsidR="003764C3">
        <w:t xml:space="preserve"> </w:t>
      </w:r>
      <w:r w:rsidR="003764C3" w:rsidRPr="00C866DA">
        <w:t>‰</w:t>
      </w:r>
      <w:r w:rsidR="004263B2">
        <w:t xml:space="preserve"> (using sea level estimates for the time period and a sea level/seawater isotopic ratios of about 0.1</w:t>
      </w:r>
      <w:r w:rsidR="004263B2" w:rsidRPr="00C866DA">
        <w:t>‰</w:t>
      </w:r>
      <w:r w:rsidR="004263B2">
        <w:t>/10m)</w:t>
      </w:r>
      <w:r w:rsidR="006B5699">
        <w:t xml:space="preserve">. The </w:t>
      </w:r>
      <w:r w:rsidRPr="00C866DA">
        <w:t xml:space="preserve">combined </w:t>
      </w:r>
      <w:r w:rsidR="008F7CCB">
        <w:t>e</w:t>
      </w:r>
      <w:r w:rsidRPr="00C866DA">
        <w:t xml:space="preserve">ffect of these factors </w:t>
      </w:r>
      <w:r w:rsidR="006B5699">
        <w:t xml:space="preserve">would be to increase the </w:t>
      </w:r>
      <w:r w:rsidR="006B5699" w:rsidRPr="000B129F">
        <w:rPr>
          <w:rFonts w:ascii="Symbol" w:hAnsi="Symbol"/>
        </w:rPr>
        <w:t></w:t>
      </w:r>
      <w:r w:rsidR="006B5699" w:rsidRPr="002C72BC">
        <w:rPr>
          <w:vertAlign w:val="superscript"/>
        </w:rPr>
        <w:t>18</w:t>
      </w:r>
      <w:r w:rsidR="006B5699" w:rsidRPr="002C72BC">
        <w:t xml:space="preserve">O </w:t>
      </w:r>
      <w:r w:rsidR="006B5699">
        <w:t>value of speleothem calcite by</w:t>
      </w:r>
      <w:r w:rsidR="004263B2">
        <w:t xml:space="preserve"> </w:t>
      </w:r>
      <w:r w:rsidR="00D74E59">
        <w:t>about 1.5</w:t>
      </w:r>
      <w:r w:rsidR="006B5699">
        <w:t xml:space="preserve"> ‰. Thus, the observed change of 4.8 ‰ in P10-H1 </w:t>
      </w:r>
      <w:r w:rsidR="006B5699" w:rsidRPr="00C866DA">
        <w:t xml:space="preserve">records the minimum amplitude of changes in </w:t>
      </w:r>
      <w:r w:rsidR="006B5699" w:rsidRPr="006B5699">
        <w:rPr>
          <w:rFonts w:ascii="Symbol" w:hAnsi="Symbol"/>
        </w:rPr>
        <w:t></w:t>
      </w:r>
      <w:r w:rsidR="006B5699" w:rsidRPr="00C866DA">
        <w:rPr>
          <w:vertAlign w:val="superscript"/>
        </w:rPr>
        <w:t>18</w:t>
      </w:r>
      <w:r w:rsidR="006B5699" w:rsidRPr="00C866DA">
        <w:t xml:space="preserve">O of precipitation and </w:t>
      </w:r>
      <w:r w:rsidR="006B5699">
        <w:t xml:space="preserve">the </w:t>
      </w:r>
      <w:r w:rsidR="00A32CD0">
        <w:t>effective</w:t>
      </w:r>
      <w:r w:rsidR="00A32CD0" w:rsidRPr="00C866DA">
        <w:t xml:space="preserve"> </w:t>
      </w:r>
      <w:r w:rsidR="006B5699">
        <w:t xml:space="preserve">change in </w:t>
      </w:r>
      <w:r w:rsidR="006B5699" w:rsidRPr="000B129F">
        <w:rPr>
          <w:rFonts w:ascii="Symbol" w:hAnsi="Symbol"/>
        </w:rPr>
        <w:t></w:t>
      </w:r>
      <w:r w:rsidR="006B5699" w:rsidRPr="002C72BC">
        <w:rPr>
          <w:vertAlign w:val="superscript"/>
        </w:rPr>
        <w:t>18</w:t>
      </w:r>
      <w:r w:rsidR="006B5699" w:rsidRPr="002C72BC">
        <w:t xml:space="preserve">O </w:t>
      </w:r>
      <w:r w:rsidR="006B5699">
        <w:t>of precipitation at t</w:t>
      </w:r>
      <w:r w:rsidR="004263B2">
        <w:t xml:space="preserve">he site was </w:t>
      </w:r>
      <w:r w:rsidR="00EF1F34">
        <w:t>approximately</w:t>
      </w:r>
      <w:r w:rsidR="00D74E59">
        <w:t xml:space="preserve"> 6.3</w:t>
      </w:r>
      <w:r w:rsidR="006B5699">
        <w:t xml:space="preserve"> ‰. </w:t>
      </w:r>
    </w:p>
    <w:p w14:paraId="2D5A3790" w14:textId="646119C9" w:rsidR="0028440A" w:rsidRDefault="0028440A" w:rsidP="00B90AF7">
      <w:pPr>
        <w:spacing w:line="480" w:lineRule="auto"/>
      </w:pPr>
    </w:p>
    <w:p w14:paraId="0F3A9E55" w14:textId="5E24A378" w:rsidR="00C866DA" w:rsidRDefault="00D74E59" w:rsidP="00B90AF7">
      <w:pPr>
        <w:spacing w:line="480" w:lineRule="auto"/>
      </w:pPr>
      <w:r>
        <w:t>The relationship between</w:t>
      </w:r>
      <w:r w:rsidR="00C866DA" w:rsidRPr="00C866DA">
        <w:t xml:space="preserve"> </w:t>
      </w:r>
      <w:r w:rsidR="00C866DA" w:rsidRPr="006B5699">
        <w:rPr>
          <w:rFonts w:ascii="Symbol" w:hAnsi="Symbol"/>
        </w:rPr>
        <w:t></w:t>
      </w:r>
      <w:r w:rsidR="00C866DA" w:rsidRPr="00C866DA">
        <w:rPr>
          <w:vertAlign w:val="superscript"/>
        </w:rPr>
        <w:t>18</w:t>
      </w:r>
      <w:r w:rsidR="00C866DA" w:rsidRPr="00C866DA">
        <w:t>O of precipitation at the study site</w:t>
      </w:r>
      <w:r w:rsidR="0011523F">
        <w:t xml:space="preserve"> </w:t>
      </w:r>
      <w:r>
        <w:t>and</w:t>
      </w:r>
      <w:r w:rsidR="0011523F">
        <w:t xml:space="preserve"> clima</w:t>
      </w:r>
      <w:r w:rsidR="006B5699">
        <w:t>te</w:t>
      </w:r>
      <w:r>
        <w:t xml:space="preserve"> is as follows. During the SASM, as moisture is transported from the tropical Atlantic across the continent, rainout of the </w:t>
      </w:r>
      <w:r w:rsidR="00286538">
        <w:t>heavy isotope leads to highly d</w:t>
      </w:r>
      <w:r>
        <w:t>e</w:t>
      </w:r>
      <w:r w:rsidR="00286538">
        <w:t>p</w:t>
      </w:r>
      <w:r>
        <w:t xml:space="preserve">leted rainfall in the Amazon Basin. Via an 'amount effect' </w:t>
      </w:r>
      <w:r w:rsidR="00C866DA" w:rsidRPr="00C866DA">
        <w:t xml:space="preserve">a stronger SASM leads to more </w:t>
      </w:r>
      <w:r>
        <w:t xml:space="preserve">negative </w:t>
      </w:r>
      <w:r w:rsidRPr="006B5699">
        <w:rPr>
          <w:rFonts w:ascii="Symbol" w:hAnsi="Symbol"/>
        </w:rPr>
        <w:t></w:t>
      </w:r>
      <w:r w:rsidRPr="00C866DA">
        <w:rPr>
          <w:vertAlign w:val="superscript"/>
        </w:rPr>
        <w:t>18</w:t>
      </w:r>
      <w:r w:rsidRPr="00C866DA">
        <w:t xml:space="preserve">O </w:t>
      </w:r>
      <w:r w:rsidR="00C866DA" w:rsidRPr="00C866DA">
        <w:t xml:space="preserve">values in tropical South American rainfall </w:t>
      </w:r>
      <w:r w:rsidR="00D264EB" w:rsidRPr="006B5699">
        <w:rPr>
          <w:rFonts w:ascii="Symbol" w:hAnsi="Symbol"/>
        </w:rPr>
        <w:t></w:t>
      </w:r>
      <w:r w:rsidR="00D264EB" w:rsidRPr="00C866DA">
        <w:rPr>
          <w:vertAlign w:val="superscript"/>
        </w:rPr>
        <w:t>18</w:t>
      </w:r>
      <w:r w:rsidR="007D3923">
        <w:t xml:space="preserve">O </w:t>
      </w:r>
      <w:r w:rsidR="007D3923">
        <w:fldChar w:fldCharType="begin"/>
      </w:r>
      <w:r w:rsidR="00B61709">
        <w:instrText xml:space="preserve"> ADDIN ZOTERO_ITEM CSL_CITATION {"citationID":"18jh5uo820","properties":{"formattedCitation":"(Vuille and Werner, 2005)","plainCitation":"(Vuille and Werner, 2005)"},"citationItems":[{"id":531,"uris":["http://zotero.org/users/local/ylr7WDKU/items/JSKKNCMC"],"uri":["http://zotero.org/users/local/ylr7WDKU/items/JSKKNCMC"],"itemData":{"id":531,"type":"article-journal","title":"Stable isotopes in precipitation recording South American summer monsoon and ENSO variability: observations and model results","container-title":"Climate Dynamics","page":"401-413","volume":"25","issue":"4","source":"SpringerLink","abstract":"The South American Summer Monsoon (SASM) is a prominent feature of summertime climate over South America and has been identified in a number of paleoclimatic records from across the continent, including records based on stable isotopes. The relationship between the stable isotopic composition of precipitation and interannual variations in monsoon strength, however, has received little attention so far. Here we investigate how variations in the intensity of the SASM influence δ 18 O in precipitation based on both observational data and Atmospheric General Circulation Model (AGCM) simulations. An index of vertical wind shear over the SASM entrance (low level) and exit (upper level) region over the western equatorial Atlantic is used to define interannual variations in summer monsoon strength. This index is closely correlated with variations in deep convection over tropical and subtropical South America during the mature stage of the SASM. Observational data from the International Atomic Energy Agency-Global Network of Isotopes in Precipitation (IAEA-GNIP) and from tropical ice cores show a significant negative association between δ 18 O and SASM strength over the Amazon basin, SE South America and the central Andes. The more depleted stable isotopic values during intense monsoon seasons are consistent with the so-called ’‘amount effect‘’, often observed in tropical regions. In many locations, however, our results indicate that the moisture transport history and the degree of rainout upstream may be more important factors explaining interannual variations in δ 18 O. In many locations the stable isotopic composition is closely related to El Niño-Southern Oscillation (ENSO), even though the moisture source is located over the tropical Atlantic and precipitation is the result of the southward expansion and intensification of the SASM during austral summer. ENSO induces significant atmospheric circulation anomalies over tropical South America, which affect both SASM precipitation and δ 18 O variability. Therefore many regions show a weakened relationship between SASM and δ 18 O, once the SASM signal is decomposed into its ENSO-, and non-ENSO-related variance.","DOI":"10.1007/s00382-005-0049-9","ISSN":"0930-7575","shortTitle":"Stable isotopes in precipitation recording South American summer monsoon and ENSO variability","author":[{"family":"Vuille","given":"M."},{"family":"Werner","given":"M."}],"issued":{"date-parts":[["2005"]]},"accessed":{"date-parts":[["2012",9,26]]}}}],"schema":"https://github.com/citation-style-language/schema/raw/master/csl-citation.json"} </w:instrText>
      </w:r>
      <w:r w:rsidR="007D3923">
        <w:fldChar w:fldCharType="separate"/>
      </w:r>
      <w:r w:rsidR="007D3923">
        <w:rPr>
          <w:noProof/>
        </w:rPr>
        <w:t>(Vuille and Werner, 2005)</w:t>
      </w:r>
      <w:r w:rsidR="007D3923">
        <w:fldChar w:fldCharType="end"/>
      </w:r>
      <w:r w:rsidR="00C866DA" w:rsidRPr="00C866DA">
        <w:t xml:space="preserve">.  </w:t>
      </w:r>
      <w:r>
        <w:t>Because the moisture source for the central Peruvian Andes is the Amazon Basin</w:t>
      </w:r>
      <w:r w:rsidR="007D3923">
        <w:t xml:space="preserve"> </w:t>
      </w:r>
      <w:r w:rsidR="007D3923">
        <w:fldChar w:fldCharType="begin"/>
      </w:r>
      <w:r w:rsidR="00B61709">
        <w:instrText xml:space="preserve"> ADDIN ZOTERO_ITEM CSL_CITATION {"citationID":"2nolk48qcu","properties":{"formattedCitation":"(Garreaud et al., 2003)","plainCitation":"(Garreaud et al., 2003)"},"citationItems":[{"id":556,"uris":["http://zotero.org/users/local/ylr7WDKU/items/KSXD28DH"],"uri":["http://zotero.org/users/local/ylr7WDKU/items/KSXD28DH"],"itemData":{"id":556,"type":"article-journal","title":"The climate of the Altiplano: observed current conditions and mechanisms of past changes","container-title":"Palaeogeography, Palaeoclimatology, Palaeoecology","page":"5-22","volume":"194","issue":"1–3","source":"ScienceDirect","abstract":"The large-scale controls on the climate of the South American Altiplano are investigated using local observations, reanalysis data and general circulation model experiments. The objective is to gain understanding of causes of climate variability and climate change by relating mechanisms that operate on timescales ranging from the intraseasonal to the glacial–interglacial. Our results suggest that, on all timescales, the climatic conditions on the Altiplano are closely related to the upper-air circulation, with an easterly zonal flow aloft favoring wet conditions and westerly flow causing dry conditions. Different factors influence the upper-air circulation on the different timescales. Intraseasonal variability is a reflection of the position and intensity of the Bolivian High, which is modulated by Rossby waves emanating from the midlatitude South Pacific. The annual cycle of dry winter and wet summer conditions is caused by the seasonal expansion of the equatorial easterlies in the upper troposphere, rather than direct insolation forcing over the Altiplano or moisture changes in the source area. Interannual variability is primarily related to changes in the mean zonal flow over the Altiplano, reflecting changes in meridional baroclinicity between tropical and subtropical latitudes, which in turn is a response to sea-surface temperature changes in the tropical Pacific. Orbitally forced changes in the land–sea contrast drive continental-scale circulation changes, which significantly alter the zonal flow over the Altiplano. On glacial–interglacial timescales, the contrast in heating between northern and southern hemispheres during the glacial leads to upper-air easterly anomalies throughout the tropics. On modern timescales the marked submonthly, seasonal and interannual changes of moisture over the Altiplano cannot be accounted for by moisture changes in the humid tropical lowlands. However, the model experiments suggest that cooler conditions during a glacial reduce moisture availability from the tropical lowlands, which counteracts the effect of the upper-level circulation, resulting in little overall change in precipitation. This observational and modeling analysis provides a physical framework for relating the mechanisms of both internal and forced climate change on the Altiplano on a wide range of timescales.","DOI":"10.1016/S0031-0182(03)00269-4","ISSN":"0031-0182","shortTitle":"Late-quaternary palaeoclimates of the southern tropical Andes and adjacent regions","journalAbbreviation":"Palaeogeography, Palaeoclimatology, Palaeoecology","author":[{"family":"Garreaud","given":"René"},{"family":"Vuille","given":"Mathias"},{"family":"Clement","given":"Amy C."}],"issued":{"date-parts":[["2003",5,15]]},"accessed":{"date-parts":[["2012",9,26]]}}}],"schema":"https://github.com/citation-style-language/schema/raw/master/csl-citation.json"} </w:instrText>
      </w:r>
      <w:r w:rsidR="007D3923">
        <w:fldChar w:fldCharType="separate"/>
      </w:r>
      <w:r w:rsidR="007D3923">
        <w:rPr>
          <w:noProof/>
        </w:rPr>
        <w:t>(Garreaud et al., 2003)</w:t>
      </w:r>
      <w:r w:rsidR="007D3923">
        <w:fldChar w:fldCharType="end"/>
      </w:r>
      <w:r>
        <w:t>, a s</w:t>
      </w:r>
      <w:r w:rsidR="00C866DA" w:rsidRPr="00C866DA">
        <w:t xml:space="preserve">imilar </w:t>
      </w:r>
      <w:r>
        <w:t>relationship is observed</w:t>
      </w:r>
      <w:r w:rsidR="00C866DA" w:rsidRPr="00C866DA">
        <w:t xml:space="preserve"> for the tropical Andes, where local precipitation </w:t>
      </w:r>
      <w:r w:rsidR="00D264EB" w:rsidRPr="006B5699">
        <w:rPr>
          <w:rFonts w:ascii="Symbol" w:hAnsi="Symbol"/>
        </w:rPr>
        <w:t></w:t>
      </w:r>
      <w:r w:rsidR="00D264EB" w:rsidRPr="00C866DA">
        <w:rPr>
          <w:vertAlign w:val="superscript"/>
        </w:rPr>
        <w:t>18</w:t>
      </w:r>
      <w:r w:rsidR="00D264EB" w:rsidRPr="00C866DA">
        <w:t xml:space="preserve">O </w:t>
      </w:r>
      <w:r w:rsidR="00C866DA" w:rsidRPr="00C866DA">
        <w:t>is strongly anti</w:t>
      </w:r>
      <w:r w:rsidR="00D027DD">
        <w:t>-</w:t>
      </w:r>
      <w:r w:rsidR="00C866DA" w:rsidRPr="00C866DA">
        <w:t xml:space="preserve">correlated to rainfall amount upstream in the Amazon Basin </w:t>
      </w:r>
      <w:r w:rsidR="007D3923">
        <w:fldChar w:fldCharType="begin"/>
      </w:r>
      <w:r w:rsidR="00B61709">
        <w:instrText xml:space="preserve"> ADDIN ZOTERO_ITEM CSL_CITATION {"citationID":"5gd3slde7","properties":{"formattedCitation":"(Vimeux et al., 2005)","plainCitation":"(Vimeux et al., 2005)"},"citationItems":[{"id":592,"uris":["http://zotero.org/users/local/ylr7WDKU/items/AKDIX5IZ"],"uri":["http://zotero.org/users/local/ylr7WDKU/items/AKDIX5IZ"],"itemData":{"id":592,"type":"article-journal","title":"What are the climate controls on δD in precipitation in the Zongo Valley (Bolivia)? Implications for the Illimani ice core interpretation","container-title":"Earth and Planetary Science Letters","page":"205-220","volume":"240","issue":"2","source":"ScienceDirect","abstract":"Controversy has surrounded the interpretation of the water isotopic composition (δD or δ18O) in tropical and subtropical ice cores in South America. Although recent modeling studies using AGCM have provided useful constraints at interannual time scales, no direct calibration based on modern observations has been achieved. In the context of the recent ice core drilling at Nevado Illimani (16°39</w:instrText>
      </w:r>
      <w:r w:rsidR="00B61709">
        <w:rPr>
          <w:rFonts w:hint="eastAsia"/>
        </w:rPr>
        <w:instrText>′</w:instrText>
      </w:r>
      <w:r w:rsidR="00B61709">
        <w:instrText>S–67°47</w:instrText>
      </w:r>
      <w:r w:rsidR="00B61709">
        <w:rPr>
          <w:rFonts w:hint="eastAsia"/>
        </w:rPr>
        <w:instrText>′</w:instrText>
      </w:r>
      <w:r w:rsidR="00B61709">
        <w:instrText xml:space="preserve">W) in Bolivia, we examine the climatic controls on the modern isotopic composition of precipitation in the Zongo Valley, located on the northeast side of the Cordillera Real, at about 55 km from Nevado Illimani. Monthly precipitation samples were collected from September 1999 to August 2004 at various altitudes along this valley. First we examine the local and regional controls on the common δD signal measured along this valley. We show that (1) local temperature has definitely no control on δD variations, and (2) local rainout is a poor factor to explain δD variations. We thus seek regional controls upstream the Valley potentially affecting air masses distillation. Based on backtrajectory calculations and using satellite data (TRMM precipitation, NOAA OLR) and direct observations of precipitation (IAEA/GNIP), we show that moisture transport history and the degree of rainout upstream are more important factors explaining seasonal δD variations. Analysis of a 92-yr simulation from the ECHAM-4 model (T30 version) implemented with water stable isotopes confirms our observations at seasonal time scale and emphasize the role of air masses distillation upstream as a prominent factor controlling interannual δD variations. Lastly, we focus on the isotopic depletion along the valley when air masses are lifted up. Our results suggest that, if the temperature gradient between the base and the top of the Andes was higher by a few degrees during the Last Glacial Maximum (LGM), less than 10% of the glacial to interglacial isotopic variation recorded in the Illimani ice core could be accounted for by this temperature change. It implies that the rest of the variation would originate from wetter conditions along air masses trajectory during LGM.","DOI":"10.1016/j.epsl.2005.09.031","ISSN":"0012-821X","shortTitle":"What are the climate controls on δD in precipitation in the Zongo Valley (Bolivia)?","journalAbbreviation":"Earth and Planetary Science Letters","author":[{"family":"Vimeux","given":"Françoise"},{"family":"Gallaire","given":"Robert"},{"family":"Bony","given":"Sandrine"},{"family":"Hoffmann","given":"Georg"},{"family":"Chiang","given":"John C.H."}],"issued":{"date-parts":[["2005",12,1]]},"accessed":{"date-parts":[["2013",1,24]],"season":"19:45:25"}}}],"schema":"https://github.com/citation-style-language/schema/raw/master/csl-citation.json"} </w:instrText>
      </w:r>
      <w:r w:rsidR="007D3923">
        <w:fldChar w:fldCharType="separate"/>
      </w:r>
      <w:r w:rsidR="007D3923">
        <w:rPr>
          <w:noProof/>
        </w:rPr>
        <w:t>(Hoffmann et al., 2003; Vimeux et al., 2005)</w:t>
      </w:r>
      <w:r w:rsidR="007D3923">
        <w:fldChar w:fldCharType="end"/>
      </w:r>
      <w:r w:rsidR="007D3923" w:rsidRPr="00C866DA">
        <w:t xml:space="preserve"> </w:t>
      </w:r>
      <w:r w:rsidR="00C866DA" w:rsidRPr="00C866DA">
        <w:fldChar w:fldCharType="begin">
          <w:fldData xml:space="preserve">PEVuZE5vdGU+PENpdGU+PEF1dGhvcj5WaW1ldXg8L0F1dGhvcj48WWVhcj4yMDA1PC9ZZWFyPjxS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</w:fldData>
        </w:fldChar>
      </w:r>
      <w:r w:rsidR="00C866DA" w:rsidRPr="00C866DA">
        <w:instrText xml:space="preserve"> ADDIN EN.CITE </w:instrText>
      </w:r>
      <w:r w:rsidR="00C866DA" w:rsidRPr="00C866DA">
        <w:fldChar w:fldCharType="begin">
          <w:fldData xml:space="preserve">PEVuZE5vdGU+PENpdGU+PEF1dGhvcj5WaW1ldXg8L0F1dGhvcj48WWVhcj4yMDA1PC9ZZWFyPjxS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</w:fldData>
        </w:fldChar>
      </w:r>
      <w:r w:rsidR="00C866DA" w:rsidRPr="00C866DA">
        <w:instrText xml:space="preserve"> ADDIN EN.CITE.DATA </w:instrText>
      </w:r>
      <w:r w:rsidR="00C866DA" w:rsidRPr="00C866DA">
        <w:fldChar w:fldCharType="end"/>
      </w:r>
      <w:r w:rsidR="00C866DA" w:rsidRPr="00C866DA">
        <w:fldChar w:fldCharType="end"/>
      </w:r>
      <w:r w:rsidR="00C866DA" w:rsidRPr="00C866DA">
        <w:t xml:space="preserve">.  </w:t>
      </w:r>
      <w:r w:rsidR="00286538">
        <w:t xml:space="preserve">The </w:t>
      </w:r>
      <w:r w:rsidR="00286538" w:rsidRPr="006B5699">
        <w:rPr>
          <w:rFonts w:ascii="Symbol" w:hAnsi="Symbol"/>
        </w:rPr>
        <w:t></w:t>
      </w:r>
      <w:r w:rsidR="00286538" w:rsidRPr="00C866DA">
        <w:rPr>
          <w:vertAlign w:val="superscript"/>
        </w:rPr>
        <w:t>18</w:t>
      </w:r>
      <w:r w:rsidR="00286538" w:rsidRPr="00C866DA">
        <w:t>O of precipitation at the study site</w:t>
      </w:r>
      <w:r w:rsidR="00286538">
        <w:t xml:space="preserve"> is an integrated signal of monsoon intensity along the entire</w:t>
      </w:r>
      <w:r w:rsidR="00C866DA" w:rsidRPr="00C866DA">
        <w:t xml:space="preserve"> moisture path from </w:t>
      </w:r>
      <w:r w:rsidR="001073A0">
        <w:t>the eastern Amazon Basin</w:t>
      </w:r>
      <w:r w:rsidR="00C866DA" w:rsidRPr="00C866DA">
        <w:t xml:space="preserve"> to the Altiplano</w:t>
      </w:r>
      <w:r w:rsidR="007D3923">
        <w:t xml:space="preserve"> </w:t>
      </w:r>
      <w:r w:rsidR="007D3923">
        <w:lastRenderedPageBreak/>
        <w:fldChar w:fldCharType="begin"/>
      </w:r>
      <w:r w:rsidR="00B61709">
        <w:instrText xml:space="preserve"> ADDIN ZOTERO_ITEM CSL_CITATION {"citationID":"DEzhILEO","properties":{"formattedCitation":"(Vuille and Werner, 2005)","plainCitation":"(Vuille and Werner, 2005)"},"citationItems":[{"id":531,"uris":["http://zotero.org/users/local/ylr7WDKU/items/JSKKNCMC"],"uri":["http://zotero.org/users/local/ylr7WDKU/items/JSKKNCMC"],"itemData":{"id":531,"type":"article-journal","title":"Stable isotopes in precipitation recording South American summer monsoon and ENSO variability: observations and model results","container-title":"Climate Dynamics","page":"401-413","volume":"25","issue":"4","source":"SpringerLink","abstract":"The South American Summer Monsoon (SASM) is a prominent feature of summertime climate over South America and has been identified in a number of paleoclimatic records from across the continent, including records based on stable isotopes. The relationship between the stable isotopic composition of precipitation and interannual variations in monsoon strength, however, has received little attention so far. Here we investigate how variations in the intensity of the SASM influence δ 18 O in precipitation based on both observational data and Atmospheric General Circulation Model (AGCM) simulations. An index of vertical wind shear over the SASM entrance (low level) and exit (upper level) region over the western equatorial Atlantic is used to define interannual variations in summer monsoon strength. This index is closely correlated with variations in deep convection over tropical and subtropical South America during the mature stage of the SASM. Observational data from the International Atomic Energy Agency-Global Network of Isotopes in Precipitation (IAEA-GNIP) and from tropical ice cores show a significant negative association between δ 18 O and SASM strength over the Amazon basin, SE South America and the central Andes. The more depleted stable isotopic values during intense monsoon seasons are consistent with the so-called ’‘amount effect‘’, often observed in tropical regions. In many locations, however, our results indicate that the moisture transport history and the degree of rainout upstream may be more important factors explaining interannual variations in δ 18 O. In many locations the stable isotopic composition is closely related to El Niño-Southern Oscillation (ENSO), even though the moisture source is located over the tropical Atlantic and precipitation is the result of the southward expansion and intensification of the SASM during austral summer. ENSO induces significant atmospheric circulation anomalies over tropical South America, which affect both SASM precipitation and δ 18 O variability. Therefore many regions show a weakened relationship between SASM and δ 18 O, once the SASM signal is decomposed into its ENSO-, and non-ENSO-related variance.","DOI":"10.1007/s00382-005-0049-9","ISSN":"0930-7575","shortTitle":"Stable isotopes in precipitation recording South American summer monsoon and ENSO variability","author":[{"family":"Vuille","given":"M."},{"family":"Werner","given":"M."}],"issued":{"date-parts":[["2005"]]},"accessed":{"date-parts":[["2012",9,26]]}}}],"schema":"https://github.com/citation-style-language/schema/raw/master/csl-citation.json"} </w:instrText>
      </w:r>
      <w:r w:rsidR="007D3923">
        <w:fldChar w:fldCharType="separate"/>
      </w:r>
      <w:r w:rsidR="007D3923">
        <w:rPr>
          <w:noProof/>
        </w:rPr>
        <w:t>(Vuille and Werner, 2005;</w:t>
      </w:r>
      <w:r w:rsidR="007D3923" w:rsidRPr="007D3923">
        <w:rPr>
          <w:noProof/>
        </w:rPr>
        <w:t xml:space="preserve"> </w:t>
      </w:r>
      <w:r w:rsidR="007D3923">
        <w:rPr>
          <w:noProof/>
        </w:rPr>
        <w:t>Vimeux et al., 2005)</w:t>
      </w:r>
      <w:r w:rsidR="007D3923">
        <w:fldChar w:fldCharType="end"/>
      </w:r>
      <w:r w:rsidR="007D3923" w:rsidRPr="00C866DA">
        <w:t xml:space="preserve">.  </w:t>
      </w:r>
      <w:r w:rsidR="00286538">
        <w:t>On orbital and millennial timescales</w:t>
      </w:r>
      <w:r w:rsidR="00C866DA" w:rsidRPr="00C866DA">
        <w:t xml:space="preserve">, paleoclimate studies have shown that </w:t>
      </w:r>
      <w:r w:rsidR="00286538">
        <w:t>the intensity of the SASM</w:t>
      </w:r>
      <w:r w:rsidR="00C866DA" w:rsidRPr="00C866DA">
        <w:t xml:space="preserve"> is related to changes in the latitudinal position of the Atlantic Intertropical </w:t>
      </w:r>
      <w:r w:rsidR="00286538">
        <w:t xml:space="preserve">Convergence Zone (ITCZ). A more southerly mean position of the ITCZ </w:t>
      </w:r>
      <w:r w:rsidR="00C866DA" w:rsidRPr="00C866DA">
        <w:t>leads to increased SASM intensity</w:t>
      </w:r>
      <w:r w:rsidR="00D027DD">
        <w:t xml:space="preserve"> </w:t>
      </w:r>
      <w:r w:rsidR="00D027DD">
        <w:fldChar w:fldCharType="begin"/>
      </w:r>
      <w:r w:rsidR="00B61709">
        <w:instrText xml:space="preserve"> ADDIN ZOTERO_ITEM CSL_CITATION {"citationID":"1raobrisr5","properties":{"formattedCitation":"(Seltzer et al., 2000)","plainCitation":"(Seltzer et al., 2000)"},"citationItems":[{"id":163,"uris":["http://zotero.org/users/local/ylr7WDKU/items/DFF6F7ZF"],"uri":["http://zotero.org/users/local/ylr7WDKU/items/DFF6F7ZF"],"itemData":{"id":163,"type":"article-journal","title":"Isotopic evidence for late Quaternary climatic change in tropical South America","container-title":"Geology","page":"35–38","volume":"28","issue":"1","author":[{"family":"Seltzer","given":"G."},{"family":"Rodbell","given":"D."},{"family":"Burns","given":"S."}],"issued":{"date-parts":[["2000"]]}}}],"schema":"https://github.com/citation-style-language/schema/raw/master/csl-citation.json"} </w:instrText>
      </w:r>
      <w:r w:rsidR="00D027DD">
        <w:fldChar w:fldCharType="separate"/>
      </w:r>
      <w:r w:rsidR="008172F3">
        <w:rPr>
          <w:noProof/>
        </w:rPr>
        <w:t xml:space="preserve">(Seltzer et al., 2000; </w:t>
      </w:r>
      <w:r w:rsidR="00D027DD">
        <w:fldChar w:fldCharType="end"/>
      </w:r>
      <w:r w:rsidR="008172F3">
        <w:fldChar w:fldCharType="begin"/>
      </w:r>
      <w:r w:rsidR="00B61709">
        <w:instrText xml:space="preserve"> ADDIN ZOTERO_ITEM CSL_CITATION {"citationID":"kpn0dvjs1","properties":{"formattedCitation":"(Cruz et al., 2005a)","plainCitation":"(Cruz et al., 2005a)"},"citationItems":[{"id":155,"uris":["http://zotero.org/users/local/ylr7WDKU/items/5VKD6E8E"],"uri":["http://zotero.org/users/local/ylr7WDKU/items/5VKD6E8E"],"itemData":{"id":155,"type":"article-journal","title":"Insolation-driven changes in atmospheric circulation over the past 116,000 years in subtropical Brazil","container-title":"Nature","page":"63–66","volume":"434","issue":"7029","author":[{"family":"Cruz","given":"F.W."},{"family":"Burns","given":"S.J."},{"family":"Karmann","given":"I."},{"family":"Sharp","given":"W.D."},{"family":"Vuille","given":"M."},{"family":"Cardoso","given":"A.O."},{"family":"Ferrari","given":"J.A."},{"family":"Dias","given":"P.L.S."},{"family":"Viana","given":"O."}],"issued":{"date-parts":[["2005"]]}}}],"schema":"https://github.com/citation-style-language/schema/raw/master/csl-citation.json"} </w:instrText>
      </w:r>
      <w:r w:rsidR="008172F3">
        <w:fldChar w:fldCharType="separate"/>
      </w:r>
      <w:r w:rsidR="008172F3">
        <w:rPr>
          <w:noProof/>
        </w:rPr>
        <w:t>Cruz et al., 2005)</w:t>
      </w:r>
      <w:r w:rsidR="008172F3">
        <w:fldChar w:fldCharType="end"/>
      </w:r>
      <w:r w:rsidR="00C866DA" w:rsidRPr="00C866DA">
        <w:t xml:space="preserve">.  Thus, speleothem </w:t>
      </w:r>
      <w:r w:rsidR="00D264EB" w:rsidRPr="006B5699">
        <w:rPr>
          <w:rFonts w:ascii="Symbol" w:hAnsi="Symbol"/>
        </w:rPr>
        <w:t></w:t>
      </w:r>
      <w:r w:rsidR="00D264EB" w:rsidRPr="00C866DA">
        <w:rPr>
          <w:vertAlign w:val="superscript"/>
        </w:rPr>
        <w:t>18</w:t>
      </w:r>
      <w:r w:rsidR="00D264EB" w:rsidRPr="00C866DA">
        <w:t xml:space="preserve">O </w:t>
      </w:r>
      <w:r w:rsidR="00C866DA" w:rsidRPr="00C866DA">
        <w:t xml:space="preserve">at the study site records changes in the intensity of large-scale continental and maritime atmospheric convection, </w:t>
      </w:r>
      <w:r w:rsidR="00286538">
        <w:t xml:space="preserve">and </w:t>
      </w:r>
      <w:r w:rsidR="00C866DA" w:rsidRPr="00C866DA">
        <w:t xml:space="preserve">more negative speleothem </w:t>
      </w:r>
      <w:r w:rsidR="00D264EB" w:rsidRPr="006B5699">
        <w:rPr>
          <w:rFonts w:ascii="Symbol" w:hAnsi="Symbol"/>
        </w:rPr>
        <w:t></w:t>
      </w:r>
      <w:r w:rsidR="00D264EB" w:rsidRPr="00C866DA">
        <w:rPr>
          <w:vertAlign w:val="superscript"/>
        </w:rPr>
        <w:t>18</w:t>
      </w:r>
      <w:r w:rsidR="00D264EB" w:rsidRPr="00C866DA">
        <w:t xml:space="preserve">O </w:t>
      </w:r>
      <w:r w:rsidR="00286538">
        <w:t>indicates</w:t>
      </w:r>
      <w:r w:rsidR="00C866DA" w:rsidRPr="00C866DA">
        <w:t xml:space="preserve"> enhanced SASM activity, increased rainout, and a more southerly position of the ITCZ. </w:t>
      </w:r>
    </w:p>
    <w:p w14:paraId="52A8A1DF" w14:textId="77777777" w:rsidR="00D264EB" w:rsidRDefault="00D264EB" w:rsidP="00B90AF7">
      <w:pPr>
        <w:spacing w:line="480" w:lineRule="auto"/>
      </w:pPr>
    </w:p>
    <w:p w14:paraId="6BF816B8" w14:textId="7873E69A" w:rsidR="00FE7261" w:rsidRDefault="00D264EB" w:rsidP="00B90AF7">
      <w:pPr>
        <w:spacing w:line="480" w:lineRule="auto"/>
      </w:pPr>
      <w:r>
        <w:t>Our record shows that the SASM was rela</w:t>
      </w:r>
      <w:r w:rsidR="00111422">
        <w:t xml:space="preserve">tively weak during MIS 5.5, </w:t>
      </w:r>
      <w:r w:rsidR="00456079">
        <w:t xml:space="preserve">particularly during the last 2000 years of the interglacial period. The SASM </w:t>
      </w:r>
      <w:r>
        <w:t>strengthened rapidly</w:t>
      </w:r>
      <w:r w:rsidR="00456079">
        <w:t xml:space="preserve">, </w:t>
      </w:r>
      <w:r w:rsidR="00111422">
        <w:t xml:space="preserve">mainly </w:t>
      </w:r>
      <w:r w:rsidR="00456079">
        <w:t>in two approximately equal steps, at</w:t>
      </w:r>
      <w:r>
        <w:t xml:space="preserve"> 121</w:t>
      </w:r>
      <w:r w:rsidR="00456079">
        <w:t xml:space="preserve"> ka and at</w:t>
      </w:r>
      <w:r>
        <w:t xml:space="preserve"> 117 ka. The</w:t>
      </w:r>
      <w:r w:rsidR="00456079">
        <w:t xml:space="preserve"> most negative </w:t>
      </w:r>
      <w:r w:rsidR="00456079" w:rsidRPr="006B5699">
        <w:rPr>
          <w:rFonts w:ascii="Symbol" w:hAnsi="Symbol"/>
        </w:rPr>
        <w:t></w:t>
      </w:r>
      <w:r w:rsidR="00456079" w:rsidRPr="00C866DA">
        <w:rPr>
          <w:vertAlign w:val="superscript"/>
        </w:rPr>
        <w:t>18</w:t>
      </w:r>
      <w:r w:rsidR="00456079" w:rsidRPr="00C866DA">
        <w:t xml:space="preserve">O </w:t>
      </w:r>
      <w:r w:rsidR="00456079">
        <w:t>values for P10-H1, around -17.0 ‰ between 117 and 116 ka, are less than one per mil more enriched than samples from the same area during the LGM</w:t>
      </w:r>
      <w:r w:rsidR="00C13A8D">
        <w:t xml:space="preserve"> </w:t>
      </w:r>
      <w:r w:rsidR="00C13A8D" w:rsidRPr="002C72BC">
        <w:fldChar w:fldCharType="begin"/>
      </w:r>
      <w:r w:rsidR="00B61709">
        <w:instrText xml:space="preserve"> ADDIN ZOTERO_ITEM CSL_CITATION {"citationID":"XRWEQvsC","properties":{"formattedCitation":"(Kanner et al., 2012)","plainCitation":"(Kanner et al., 2012)"},"citationItems":[{"id":503,"uris":["http://zotero.org/users/local/ylr7WDKU/items/MMSC64P4"],"uri":["http://zotero.org/users/local/ylr7WDKU/items/MMSC64P4"],"itemData":{"id":503,"type":"article-journal","title":"High-Latitude Forcing of the South American Summer Monsoon During the Last Glacial","container-title":"Science","page":"570-573","volume":"335","issue":"6068","source":"www.sciencemag.org","abstract":"The climate of the Last Glacial period (10,000 to 110,000 years ago) was characterized by rapid millennial-scale climate fluctuations termed Dansgaard/Oeschger (D/O) and Heinrich events. We present results from a speleothem-derived proxy of the South American summer monsoon (SASM) from 16,000 to 50,000 years ago that demonstrate the occurrence of D/O cycles and Heinrich events. This tropical Southern Hemisphere monsoon reconstruction illustrates an antiphase relationship to Northern Hemisphere monsoon intensity at the millennial scale. Our results also show an influence of Antarctic millennial-scale climate fluctuations on the SASM. This high-resolution, precisely dated, tropical precipitation record can be used to establish the timing of climate events in the high latitudes of the Northern and Southern Hemispheres.","DOI":"10.1126/science.1213397","ISSN":"0036-8075, 1095-9203","journalAbbreviation":"Science","language":"en","author":[{"family":"Kanner","given":"Lisa C."},{"family":"Burns","given":"Stephen J."},{"family":"Cheng","given":"Hai"},{"family":"Edwards","given":"R. Lawrence"}],"issued":{"date-parts":[["2012",2,3]]},"accessed":{"date-parts":[["2012",9,26]]}}}],"schema":"https://github.com/citation-style-language/schema/raw/master/csl-citation.json"} </w:instrText>
      </w:r>
      <w:r w:rsidR="00C13A8D" w:rsidRPr="002C72BC">
        <w:fldChar w:fldCharType="separate"/>
      </w:r>
      <w:r w:rsidR="00C13A8D">
        <w:t>(Kanner et al., 2012)</w:t>
      </w:r>
      <w:r w:rsidR="00C13A8D" w:rsidRPr="002C72BC">
        <w:fldChar w:fldCharType="end"/>
      </w:r>
      <w:r w:rsidR="00C13A8D">
        <w:t xml:space="preserve">. </w:t>
      </w:r>
      <w:r w:rsidR="00BA7440">
        <w:t xml:space="preserve"> </w:t>
      </w:r>
      <w:r w:rsidR="00FE7261">
        <w:t xml:space="preserve">And the </w:t>
      </w:r>
      <w:r>
        <w:t xml:space="preserve">~5 ‰ </w:t>
      </w:r>
      <w:r w:rsidR="00FE7261">
        <w:t>range</w:t>
      </w:r>
      <w:r>
        <w:t xml:space="preserve"> </w:t>
      </w:r>
      <w:r w:rsidRPr="006B5699">
        <w:rPr>
          <w:rFonts w:ascii="Symbol" w:hAnsi="Symbol"/>
        </w:rPr>
        <w:t></w:t>
      </w:r>
      <w:r w:rsidRPr="00C866DA">
        <w:rPr>
          <w:vertAlign w:val="superscript"/>
        </w:rPr>
        <w:t>18</w:t>
      </w:r>
      <w:r w:rsidRPr="00C866DA">
        <w:t xml:space="preserve">O </w:t>
      </w:r>
      <w:r w:rsidR="00FE7261">
        <w:t xml:space="preserve">observed in P10-H1 </w:t>
      </w:r>
      <w:r>
        <w:t>is only slightly less than to the 5.5‰ change we observe in sp</w:t>
      </w:r>
      <w:r w:rsidR="006004E7">
        <w:t>e</w:t>
      </w:r>
      <w:r>
        <w:t>leothems from this location from the LGM to the early Holocene</w:t>
      </w:r>
      <w:r w:rsidR="008172F3">
        <w:t xml:space="preserve"> </w:t>
      </w:r>
      <w:r w:rsidR="00D03268">
        <w:fldChar w:fldCharType="begin"/>
      </w:r>
      <w:r w:rsidR="00B61709">
        <w:instrText xml:space="preserve"> ADDIN ZOTERO_ITEM CSL_CITATION {"citationID":"kpttk6rur","properties":{"formattedCitation":"(Kanner et al., 2013, 2012)","plainCitation":"(Kanner et al., 2013, 2012)"},"citationItems":[{"id":503,"uris":["http://zotero.org/users/local/ylr7WDKU/items/MMSC64P4"],"uri":["http://zotero.org/users/local/ylr7WDKU/items/MMSC64P4"],"itemData":{"id":503,"type":"article-journal","title":"High-Latitude Forcing of the South American Summer Monsoon During the Last Glacial","container-title":"Science","page":"570-573","volume":"335","issue":"6068","source":"www.sciencemag.org","abstract":"The climate of the Last Glacial period (10,000 to 110,000 years ago) was characterized by rapid millennial-scale climate fluctuations termed Dansgaard/Oeschger (D/O) and Heinrich events. We present results from a speleothem-derived proxy of the South American summer monsoon (SASM) from 16,000 to 50,000 years ago that demonstrate the occurrence of D/O cycles and Heinrich events. This tropical Southern Hemisphere monsoon reconstruction illustrates an antiphase relationship to Northern Hemisphere monsoon intensity at the millennial scale. Our results also show an influence of Antarctic millennial-scale climate fluctuations on the SASM. This high-resolution, precisely dated, tropical precipitation record can be used to establish the timing of climate events in the high latitudes of the Northern and Southern Hemispheres.","DOI":"10.1126/science.1213397","ISSN":"0036-8075, 1095-9203","journalAbbreviation":"Science","language":"en","author":[{"family":"Kanner","given":"Lisa C."},{"family":"Burns","given":"Stephen J."},{"family":"Cheng","given":"Hai"},{"family":"Edwards","given":"R. Lawrence"}],"issued":{"date-parts":[["2012",2,3]]},"accessed":{"date-parts":[["2012",9,26]]}}},{"id":596,"uris":["http://zotero.org/users/local/ylr7WDKU/items/UAE5RGIR"],"uri":["http://zotero.org/users/local/ylr7WDKU/items/UAE5RGIR"],"itemData":{"id":596,"type":"article-journal","title":"High-resolution variability of the South American summer monsoon over the last seven millennia: insights from a speleothem record from the central Peruvian Andes","container-title":"Quaternary Science Reviews","page":"1-10","volume":"75","source":"ScienceDirect","abstract":"Stable oxygen isotope (δ18O) measurements of two speleothems, collected from Huagapo Cave in the central Peruvian Andes and with overlapping age from 1.1 to 1.4 ka, characterize tropical South American climate variability over the last 7150 years. In the study region, precipitation δ18O (δ18Op) is inversely correlated to rainfall amount upstream in the Amazon Basin and the intensity of convection associated with the South American summer monsoon (SASM). Speleothem long-axis profiles yield an average age resolution of five years and permit investigation of climate over orbital to decadal timescales. Variations in the isotopic composition of Huagapo Cave calcite (δ18Oc) are in good agreement with several precipitation proxy records from ice cores, speleothems, and lake sediments from the central Peruvian Andes. From the mid-Holocene to today, δ18Oc, a proxy for δ18Op, tracks changes in local insolation and exhibits a ∼2‰ decrease. In the Late Holocene, Huagapo Cave δ18Oc is characterized by two periods of significant decline in SASM intensity (up to 1.5‰ increase in δ18Oc) even when insolation is reaching a local maximum and the SASM would be expected to intensify. These millennial-scale reductions in SASM intensity could in part be influenced by a reduction in the zonal SST gradient of the Pacific Ocean, favoring El Niño-like development.","DOI":"10.1016/j.quascirev.2013.05.008","ISSN":"0277-3791","shortTitle":"High-resolution variability of the South American summer monsoon over the last seven millennia","journalAbbreviation":"Quaternary Science Reviews","author":[{"family":"Kanner","given":"Lisa C."},{"family":"Burns","given":"Stephen J."},{"family":"Cheng","given":"Hai"},{"family":"Edwards","given":"R. Lawrence"},{"family":"Vuille","given":"Mathias"}],"issued":{"date-parts":[["2013",9,1]]},"accessed":{"date-parts":[["2014",7,9]]}}}],"schema":"https://github.com/citation-style-language/schema/raw/master/csl-citation.json"} </w:instrText>
      </w:r>
      <w:r w:rsidR="00D03268">
        <w:fldChar w:fldCharType="separate"/>
      </w:r>
      <w:r w:rsidR="00B61709">
        <w:rPr>
          <w:noProof/>
        </w:rPr>
        <w:t>(Kanner et al., 2013, 2012)</w:t>
      </w:r>
      <w:r w:rsidR="00D03268">
        <w:fldChar w:fldCharType="end"/>
      </w:r>
      <w:r>
        <w:t xml:space="preserve">. </w:t>
      </w:r>
      <w:r w:rsidR="00456079">
        <w:t>Thus the SASM</w:t>
      </w:r>
      <w:r w:rsidR="00FE7261">
        <w:t xml:space="preserve"> was within 80-90% of its maximum intensity over the last glacial cycle at 116 ka, equivalent to MIS 5.4.</w:t>
      </w:r>
      <w:r w:rsidR="00456079">
        <w:t xml:space="preserve"> </w:t>
      </w:r>
    </w:p>
    <w:p w14:paraId="54ED7EF8" w14:textId="77777777" w:rsidR="00FE7261" w:rsidRDefault="00FE7261" w:rsidP="00B90AF7">
      <w:pPr>
        <w:spacing w:line="480" w:lineRule="auto"/>
      </w:pPr>
    </w:p>
    <w:p w14:paraId="1A952C72" w14:textId="7C10E39F" w:rsidR="000F2AAC" w:rsidRDefault="00D264EB" w:rsidP="00B90AF7">
      <w:pPr>
        <w:spacing w:line="480" w:lineRule="auto"/>
      </w:pPr>
      <w:r>
        <w:t xml:space="preserve">The intensification of the </w:t>
      </w:r>
      <w:r w:rsidR="000D0CF3">
        <w:t>SASM</w:t>
      </w:r>
      <w:r>
        <w:t xml:space="preserve"> </w:t>
      </w:r>
      <w:r w:rsidR="00A202B4">
        <w:t>during deglaciation is</w:t>
      </w:r>
      <w:r>
        <w:t xml:space="preserve"> a response </w:t>
      </w:r>
      <w:r w:rsidR="00653AEB">
        <w:t xml:space="preserve">to </w:t>
      </w:r>
      <w:r w:rsidR="005221D8">
        <w:t xml:space="preserve">several factors.  In part, intensification is due </w:t>
      </w:r>
      <w:r w:rsidR="00370C52">
        <w:t>to an</w:t>
      </w:r>
      <w:r w:rsidR="00515997">
        <w:t xml:space="preserve"> increase in summer insolation</w:t>
      </w:r>
      <w:r w:rsidR="00370C52">
        <w:t xml:space="preserve"> over the Amazon Basin, driving increased convective activity</w:t>
      </w:r>
      <w:r w:rsidR="005221D8">
        <w:t xml:space="preserve"> moisture transport</w:t>
      </w:r>
      <w:r w:rsidR="00370C52">
        <w:t xml:space="preserve">. </w:t>
      </w:r>
      <w:r w:rsidR="005221D8">
        <w:t xml:space="preserve"> </w:t>
      </w:r>
      <w:r w:rsidR="00F1580E">
        <w:t xml:space="preserve">Numerous </w:t>
      </w:r>
      <w:r w:rsidR="00F1580E">
        <w:lastRenderedPageBreak/>
        <w:t>p</w:t>
      </w:r>
      <w:r w:rsidR="00FE7261">
        <w:t xml:space="preserve">aleoclimate </w:t>
      </w:r>
      <w:r w:rsidR="006F6589">
        <w:t>studies from the EA</w:t>
      </w:r>
      <w:r w:rsidR="00F1580E">
        <w:t>M, IM, and SASM</w:t>
      </w:r>
      <w:r w:rsidR="00FE7261">
        <w:t xml:space="preserve"> </w:t>
      </w:r>
      <w:r w:rsidR="00F1580E">
        <w:t xml:space="preserve">regions </w:t>
      </w:r>
      <w:r w:rsidR="00326BA2">
        <w:fldChar w:fldCharType="begin"/>
      </w:r>
      <w:r w:rsidR="00B61709">
        <w:instrText xml:space="preserve"> ADDIN ZOTERO_ITEM CSL_CITATION {"citationID":"1slhk35abc","properties":{"formattedCitation":"(Cruz et al., 2005b; Fleitmann et al., 2003; Wang et al., 2008, 2005, 2001)","plainCitation":"(Cruz et al., 2005b; Fleitmann et al., 2003; Wang et al., 2008, 2005, 2001)"},"citationItems":[{"id":491,"uris":["http://zotero.org/users/local/ylr7WDKU/items/G8BVVEBH"],"uri":["http://zotero.org/users/local/ylr7WDKU/items/G8BVVEBH"],"itemData":{"id":491,"type":"article-journal","title":"A high-resolution absolute-dated late Pleistocene monsoon record from Hulu Cave, China","container-title":"Science","page":"2345–2348","volume":"294","issue":"5550","source":"Google Scholar","author":[{"family":"Wang","given":"Y. J."},{"family":"Cheng","given":"H."},{"family":"Edwards","given":"R. L."},{"family":"An","given":"Z. S."},{"family":"Wu","given":"J. Y."},{"family":"Shen","given":"C. C."},{"family":"Dorale","given":"J. A."}],"issued":{"date-parts":[["2001"]]},"accessed":{"date-parts":[["2012",9,5]]}}},{"id":489,"uris":["http://zotero.org/users/local/ylr7WDKU/items/5VCRTGBK"],"uri":["http://zotero.org/users/local/ylr7WDKU/items/5VCRTGBK"],"itemData":{"id":489,"type":"article-journal","title":"The Holocene Asian monsoon: links to solar changes and North Atlantic climate","container-title":"Science","page":"854–857","volume":"308","issue":"5723","source":"Google Scholar","shortTitle":"The Holocene Asian monsoon","author":[{"family":"Wang","given":"Y."},{"family":"Cheng","given":"H."},{"family":"Edwards","given":"R. L."},{"family":"He","given":"Y."},{"family":"Kong","given":"X."},{"family":"An","given":"Z."},{"family":"Wu","given":"J."},{"family":"Kelly","given":"M. J."},{"family":"Dykoski","given":"C. A."},{"family":"Li","given":"X."}],"issued":{"date-parts":[["2005"]]},"accessed":{"date-parts":[["2012",9,5]]}}},{"id":490,"uris":["http://zotero.org/users/local/ylr7WDKU/items/6W7QXTTW"],"uri":["http://zotero.org/users/local/ylr7WDKU/items/6W7QXTTW"],"itemData":{"id":490,"type":"article-journal","title":"Millennial-and orbital-scale changes in the East Asian monsoon over the past 224,000 years","container-title":"Nature","page":"1090–1093","volume":"451","issue":"7182","source":"Google Scholar","author":[{"family":"Wang","given":"Y."},{"family":"Cheng","given":"H."},{"family":"Edwards","given":"R. L."},{"family":"Kong","given":"X."},{"family":"Shao","given":"X."},{"family":"Chen","given":"S."},{"family":"Wu","given":"J."},{"family":"Jiang","given":"X."},{"family":"Wang","given":"X."},{"family":"An","given":"Z."}],"issued":{"date-parts":[["2008"]]},"accessed":{"date-parts":[["2012",9,5]]}}},{"id":9,"uris":["http://zotero.org/users/local/ylr7WDKU/items/QQZD6DP3"],"uri":["http://zotero.org/users/local/ylr7WDKU/items/QQZD6DP3"],"itemData":{"id":9,"type":"article-journal","title":"Holocene forcing of the Indian monsoon recorded in a stalagmite from   Southern Oman","container-title":"Science","page":"1737-1739","volume":"300","issue":"5626","source":"ISI Web of Knowledge","abstract":"A high-resolution oxygen-isotope record from a thorium-uranium-dated stalagmite from southern Oman re. ects variations in the amount of monsoon precipitation for the periods from 10.3 to 2.7 and 1.4 to 0.4 thousand years before the present (ky B.P.). Between 10.3 and 8 ky B. P., decadal to centennial variations in monsoon precipitation are in phase with temperature fluctuations recorded in Greenland ice cores, indicating that early Holocene monsoon intensity is largely controlled by glacial boundary conditions. After similar to8 ky B. P., monsoon precipitation decreases gradually in response to changing Northern Hemisphere summer solar insolation, with decadal to multidecadal variations in monsoon precipitation being linked to solar activity.","DOI":"10.1126/science.1083130","ISSN":"0036-8075","journalAbbreviation":"Science","language":"English","author":[{"family":"Fleitmann","given":"D."},{"family":"Burns","given":"S. J."},{"family":"Mudelsee","given":"M."},{"family":"Neff","given":"U."},{"family":"Kramers","given":"J."},{"family":"Mangini","given":"A."},{"family":"Matter","given":"A."}],"issued":{"date-parts":[["2003",6,13]]}}},{"id":192,"uris":["http://zotero.org/users/local/ylr7WDKU/items/W2ZMEQXC"],"uri":["http://zotero.org/users/local/ylr7WDKU/items/W2ZMEQXC"],"itemData":{"id":192,"type":"article-journal","title":"Insolation-driven changes in atmospheric circulation over the past 116,000 years in subtropical Brazil","container-title":"Nature","page":"63–66","volume":"434","issue":"7029","author":[{"family":"Cruz","given":"F.W."},{"family":"Burns","given":"S.J."},{"family":"Karmann","given":"I."},{"family":"Sharp","given":"W.D."},{"family":"Vuille","given":"M."},{"family":"Cardoso","given":"A.O."},{"family":"Ferrari","given":"J.A."},{"family":"Dias","given":"P.L.S."},{"family":"Viana","given":"O."}],"issued":{"date-parts":[["2005"]]}}}],"schema":"https://github.com/citation-style-language/schema/raw/master/csl-citation.json"} </w:instrText>
      </w:r>
      <w:r w:rsidR="00326BA2">
        <w:fldChar w:fldCharType="separate"/>
      </w:r>
      <w:r w:rsidR="00B61709">
        <w:rPr>
          <w:noProof/>
        </w:rPr>
        <w:t>(Cruz et al., 2005b; Fleitmann et al., 2003; Wang et al., 2008, 2005, 2001)</w:t>
      </w:r>
      <w:r w:rsidR="00326BA2">
        <w:fldChar w:fldCharType="end"/>
      </w:r>
      <w:r w:rsidR="00F1580E">
        <w:t xml:space="preserve"> </w:t>
      </w:r>
      <w:r w:rsidR="00FE7261">
        <w:t xml:space="preserve">and modeling </w:t>
      </w:r>
      <w:r w:rsidR="00F1580E">
        <w:t xml:space="preserve">results </w:t>
      </w:r>
      <w:r w:rsidR="00E2615F">
        <w:fldChar w:fldCharType="begin"/>
      </w:r>
      <w:r w:rsidR="00B61709">
        <w:instrText xml:space="preserve"> ADDIN ZOTERO_ITEM CSL_CITATION {"citationID":"4ar8f4u82","properties":{"formattedCitation":"(Kutzbach, 1981)","plainCitation":"(Kutzbach, 1981)"},"citationItems":[{"id":496,"uris":["http://zotero.org/users/local/ylr7WDKU/items/3QEKI883"],"uri":["http://zotero.org/users/local/ylr7WDKU/items/3QEKI883"],"itemData":{"id":496,"type":"article-journal","title":"Monsoon climate of the early Holocene: climate experiment with the earth's orbital parameters for 9000 years ago","container-title":"Science","page":"59","volume":"214","issue":"4516","source":"Google Scholar","shortTitle":"Monsoon climate of the early Holocene","author":[{"family":"Kutzbach","given":"J. E."}],"issued":{"date-parts":[["1981"]]},"accessed":{"date-parts":[["2012",9,6]]}}}],"schema":"https://github.com/citation-style-language/schema/raw/master/csl-citation.json"} </w:instrText>
      </w:r>
      <w:r w:rsidR="00E2615F">
        <w:fldChar w:fldCharType="separate"/>
      </w:r>
      <w:r w:rsidR="00E2615F">
        <w:rPr>
          <w:noProof/>
        </w:rPr>
        <w:t xml:space="preserve">(Kutzbach, 1981; </w:t>
      </w:r>
      <w:r w:rsidR="00E2615F">
        <w:fldChar w:fldCharType="end"/>
      </w:r>
      <w:r w:rsidR="00E2615F">
        <w:fldChar w:fldCharType="begin"/>
      </w:r>
      <w:r w:rsidR="00B61709">
        <w:instrText xml:space="preserve"> ADDIN ZOTERO_ITEM CSL_CITATION {"citationID":"1osmn34s9r","properties":{"formattedCitation":"(Kutzbach et al., 2008)","plainCitation":"(Kutzbach et al., 2008)"},"citationItems":[{"id":498,"uris":["http://zotero.org/users/local/ylr7WDKU/items/U2ZHGNPH"],"uri":["http://zotero.org/users/local/ylr7WDKU/items/U2ZHGNPH"],"itemData":{"id":498,"type":"article-journal","title":"Simulation of the evolutionary response of global summer monsoons to   orbital forcing over the past 280,000 years","container-title":"Climate Dynamics","page":"567-579","volume":"30","issue":"6","source":"ISI Web of Knowledge","abstract":"We describe the evolutionary response of northern and southern hemisphere summer monsoons to orbital forcing over the past 280,000 years using a fully coupled general circulation ocean-atmosphere model in which the orbital forcing is accelerated by a factor of 100. We find a strong and positive response of northern (southern) summer monsoon precipitation to northern (southern) summer insolation forcing. On average, July (January) precipitation maxima and JJA (DJF) precipitation maxima have high coherence and are approximately in phase with June (December) insolation maxima, implying an average lag between forcing and response of about 30 degrees of phase at the precession period. The average lag increases to over 40 degrees for 4-month precipitation averages, JJAS (DJFM). The phase varies from region to region. The average JJA (DJF) land temperature maxima also lag the June orbital forcing maxima by about 30 degrees of phase, whereas ocean temperature maxima exhibit a lag of about 60 degrees of phase at the precession period. Using generalized measures of the thermal and hydrologic processes that produce monsoons, we find that the summer monsoon precipitation indices for the six regions all fall within the phase limits of the process indices for the respective hemispheres. Selected observational studies from four of the six monsoon regions report approximate in-phase relations of summer monsoon proxies to summer insolation. However other observational studies report substantial phase lags of monsoon proxies and a strong component of forcing associated with glacial-age boundary conditions or other factors. An important next step will be to include glacial-age boundary condition forcing in long, transient paleoclimate simulations, along with orbital forcing.","DOI":"10.1007/s00382-007-0308-z","ISSN":"0930-7575","journalAbbreviation":"Clim. Dyn.","language":"English","author":[{"family":"Kutzbach","given":"J. E."},{"family":"Liu","given":"Xiaodong"},{"family":"Liu","given":"Zhengyu"},{"family":"Chen","given":"Guangshan"}],"issued":{"date-parts":[["2008",5]]}}}],"schema":"https://github.com/citation-style-language/schema/raw/master/csl-citation.json"} </w:instrText>
      </w:r>
      <w:r w:rsidR="00E2615F">
        <w:fldChar w:fldCharType="separate"/>
      </w:r>
      <w:r w:rsidR="00E2615F">
        <w:rPr>
          <w:noProof/>
        </w:rPr>
        <w:t xml:space="preserve">Kutzbach et al., 2008; </w:t>
      </w:r>
      <w:r w:rsidR="00E2615F">
        <w:fldChar w:fldCharType="end"/>
      </w:r>
      <w:r w:rsidR="00E2615F">
        <w:fldChar w:fldCharType="begin"/>
      </w:r>
      <w:r w:rsidR="00B61709">
        <w:instrText xml:space="preserve"> ADDIN ZOTERO_ITEM CSL_CITATION {"citationID":"up6mq8rg5","properties":{"formattedCitation":"(Ziegler et al., 2010)","plainCitation":"(Ziegler et al., 2010)"},"citationItems":[{"id":495,"uris":["http://zotero.org/users/local/ylr7WDKU/items/IT48FVER"],"uri":["http://zotero.org/users/local/ylr7WDKU/items/IT48FVER"],"itemData":{"id":495,"type":"article-journal","title":"Precession phasing offset between Indian summer monsoon and Arabian Sea productivity linked to changes in Atlantic overturning circulation","container-title":"PALEOCEANOGRAPHY","volume":"25","abstract":"Results from transient climate modeling experiments indicate an in-phase relationship between insolation forcing and Indian summer monsoonal precipitation. This is in contrast to high-resolution radioisotopically dated speleothem oxygen isotope (delta(18)O) records of China, which showed that East Asian Monsoon maxima lag Northern Hemisphere peak summer insolation by similar to 2,700 years, while an approximately 8,000-year time lag was derived from late Pleistocene records of Arabian Sea sediments. Here, we evaluate the precession phase of the Arabian Sea signal by comparing a new high-resolution productivity and oxygen minimum zone (OMZ) intensity record from the Arabian Sea over the past 450,000 years with the results of a transient climate modeling experiment that includes glacial-bound ice volume variations. The well established tuning technique between radioisotopically dated North Atlantic cold events and the occurrence of deep-dwelling planktonic foraminifera in the Arabian Sea for the last glacial cycle was used to extend the Arabian Sea chronology, independent of orbital tuning. Cross-spectral analysis over the last 224,000 years reveals that Arabian Sea productivity maxima lag precession minima by similar to 6,900 +/- 200 years, i.e., in close agreement with previous reconstructions. Also our climate modeling simulations are in accord with previous studies indicating an in-phase relationship between precession minima and maximum summer monsoon intensity. We argue that the summer monsoon is most likely not the main driver of changes in Arabian Sea biological productivity and OMZ intensity at the precession frequency band, but that changes in the intensity of the Atlantic meridional overturning circulation (AMOC) have played the prominent role in controlling the nutrient delivery into the euphotic layer of the northern Indian Ocean, and hence the amount of primary productivity and intensity of the oxygen minimum zone in the Arabian Sea. Such a mechanism explains the large precession-related time lag between minimum precession and maximum productivity and OMZ conditions in the Arabian Sea, since intensified AMOC occurred during precession maxima.","DOI":"10.1029/2009PA001884","ISSN":"0883-8305","author":[{"family":"Ziegler","given":"Martin"},{"family":"Lourens","given":"Lucas J."},{"family":"Tuenter","given":"Erik"},{"family":"Hilgen","given":"Frits"},{"family":"Reichart","given":"Gert-Jan"},{"family":"Weber","given":"Nanne"}],"issued":{"date-parts":[["2010",9,9]]}}}],"schema":"https://github.com/citation-style-language/schema/raw/master/csl-citation.json"} </w:instrText>
      </w:r>
      <w:r w:rsidR="00E2615F">
        <w:fldChar w:fldCharType="separate"/>
      </w:r>
      <w:r w:rsidR="00E2615F">
        <w:rPr>
          <w:noProof/>
        </w:rPr>
        <w:t>Ziegler et al., 2010)</w:t>
      </w:r>
      <w:r w:rsidR="00E2615F">
        <w:fldChar w:fldCharType="end"/>
      </w:r>
      <w:r w:rsidR="00FE7261">
        <w:t xml:space="preserve"> </w:t>
      </w:r>
      <w:r w:rsidR="006F6589">
        <w:t>indicate that the primary control on monsoon</w:t>
      </w:r>
      <w:r w:rsidR="000F2AAC">
        <w:t xml:space="preserve"> precipitation</w:t>
      </w:r>
      <w:r w:rsidR="006F6589">
        <w:t xml:space="preserve"> is summer insolation</w:t>
      </w:r>
      <w:r w:rsidR="000F2AAC">
        <w:t xml:space="preserve"> changes that follow precession of earth's orbit.</w:t>
      </w:r>
      <w:r w:rsidR="00EB4CF9">
        <w:t xml:space="preserve"> The P10-H1 time series </w:t>
      </w:r>
      <w:r w:rsidR="005221D8">
        <w:t xml:space="preserve">parallels </w:t>
      </w:r>
      <w:r w:rsidR="00EB4CF9">
        <w:t>January insolation at 10</w:t>
      </w:r>
      <w:r w:rsidR="00EB4CF9">
        <w:rPr>
          <w:rFonts w:ascii="Cambria" w:hAnsi="Cambria"/>
        </w:rPr>
        <w:t>°</w:t>
      </w:r>
      <w:r w:rsidR="00EB4CF9">
        <w:t xml:space="preserve">S (Fig. 2), though the response of the SASM to insolation is clearly non-linear. The </w:t>
      </w:r>
      <w:r w:rsidR="008F7CCB">
        <w:t xml:space="preserve">minimum </w:t>
      </w:r>
      <w:r w:rsidR="00EB4CF9">
        <w:t xml:space="preserve">in SASM intensity and the following increase lag insolation by a few thousand years (Fig. 2). The increase also </w:t>
      </w:r>
      <w:r w:rsidR="00C2040C">
        <w:t>occurs mainly in two steps, not smoothly</w:t>
      </w:r>
      <w:r w:rsidR="00EB4CF9">
        <w:t>. Maximum monsoon intensity, however, is reached at close to th</w:t>
      </w:r>
      <w:r w:rsidR="00C2040C">
        <w:t>e maximum in summer insolation at 10</w:t>
      </w:r>
      <w:r w:rsidR="00C2040C">
        <w:rPr>
          <w:rFonts w:ascii="Cambria" w:hAnsi="Cambria"/>
        </w:rPr>
        <w:t>°</w:t>
      </w:r>
      <w:r w:rsidR="00C2040C">
        <w:t>S.</w:t>
      </w:r>
    </w:p>
    <w:p w14:paraId="0FB317BD" w14:textId="77777777" w:rsidR="00DB38E0" w:rsidRDefault="00DB38E0" w:rsidP="00B90AF7">
      <w:pPr>
        <w:spacing w:line="480" w:lineRule="auto"/>
      </w:pPr>
    </w:p>
    <w:p w14:paraId="3D5CD07D" w14:textId="609A47F5" w:rsidR="00175985" w:rsidRDefault="00DB38E0" w:rsidP="00D80426">
      <w:pPr>
        <w:spacing w:line="480" w:lineRule="auto"/>
      </w:pPr>
      <w:r>
        <w:t>The non-linear relationship between SASM intensity and insolation indicates that additional factors</w:t>
      </w:r>
      <w:r w:rsidR="00B61709">
        <w:t xml:space="preserve"> </w:t>
      </w:r>
      <w:r>
        <w:t xml:space="preserve">account for the timing and </w:t>
      </w:r>
      <w:r w:rsidR="00B61709">
        <w:t>pace of low latitude climate change</w:t>
      </w:r>
      <w:r>
        <w:t xml:space="preserve">. </w:t>
      </w:r>
      <w:r w:rsidR="007B508F">
        <w:t>Paleoclimate studies of speleothem growth periods (Wang et al., 2008) and oxygen isotope ratios (Kanner et al., 2012) during the last glacial period demonstrate that the SASM increased</w:t>
      </w:r>
      <w:r w:rsidR="00D935C7">
        <w:t xml:space="preserve"> </w:t>
      </w:r>
      <w:r w:rsidR="007B508F">
        <w:t>rapidly in intensity during Heinrich events and during Greenland stadials. Conversely</w:t>
      </w:r>
      <w:r w:rsidR="00655086">
        <w:t>,</w:t>
      </w:r>
      <w:r w:rsidR="007B508F">
        <w:t xml:space="preserve"> the SASM was relatively weak during Greenland interstadials. These changes have been interpreted as reflecting millennial-scale shifts in the mean ITCZ position</w:t>
      </w:r>
      <w:r w:rsidR="00655086">
        <w:t xml:space="preserve"> (e.g. Kanner et al., 2012)</w:t>
      </w:r>
      <w:r w:rsidR="007B508F">
        <w:t>, a hypothesis that is supported by modeling studies of the effect of land and sea ice on the ITCZ and Hadley circulati</w:t>
      </w:r>
      <w:r w:rsidR="00D935C7">
        <w:t>on in which cooling of the high northern latitudes results in the establishment</w:t>
      </w:r>
      <w:r w:rsidR="00D935C7" w:rsidRPr="00D80426">
        <w:t xml:space="preserve"> of an inter</w:t>
      </w:r>
      <w:r w:rsidR="00D935C7">
        <w:t>-</w:t>
      </w:r>
      <w:r w:rsidR="00D935C7" w:rsidRPr="00D80426">
        <w:t>hemispheric thermal gradient</w:t>
      </w:r>
      <w:r w:rsidR="005221D8">
        <w:t xml:space="preserve"> </w:t>
      </w:r>
      <w:r w:rsidR="00D935C7">
        <w:fldChar w:fldCharType="begin"/>
      </w:r>
      <w:r w:rsidR="0022418B">
        <w:instrText xml:space="preserve"> ADDIN ZOTERO_ITEM CSL_CITATION {"citationID":"u2hd0gveb","properties":{"formattedCitation":"(Chiang and Friedman, 2012)","plainCitation":"(Chiang and Friedman, 2012)"},"citationItems":[{"id":825,"uris":["http://zotero.org/users/local/ylr7WDKU/items/J7C5V58X"],"uri":["http://zotero.org/users/local/ylr7WDKU/items/J7C5V58X"],"itemData":{"id":825,"type":"article-journal","title":"Extratropical Cooling, Interhemispheric Thermal Gradients, and Tropical Climate Change","container-title":"Annual Review of Earth and Planetary Sciences","page":"383-412","volume":"40","issue":"1","source":"CrossRef","DOI":"10.1146/annurev-earth-042711-105545","ISSN":"0084-6597, 1545-4495","language":"en","author":[{"family":"Chiang","given":"John C.H."},{"family":"Friedman","given":"Andrew R."}],"issued":{"date-parts":[["2012",5,30]]},"accessed":{"date-parts":[["2015",4,22]]}}}],"schema":"https://github.com/citation-style-language/schema/raw/master/csl-citation.json"} </w:instrText>
      </w:r>
      <w:r w:rsidR="00D935C7">
        <w:fldChar w:fldCharType="separate"/>
      </w:r>
      <w:r w:rsidR="0022418B">
        <w:t>(Chiang and Friedman, 2012</w:t>
      </w:r>
      <w:r w:rsidR="00B766CC">
        <w:t xml:space="preserve">; </w:t>
      </w:r>
      <w:r w:rsidR="00D935C7">
        <w:fldChar w:fldCharType="end"/>
      </w:r>
      <w:r w:rsidR="005221D8">
        <w:fldChar w:fldCharType="begin"/>
      </w:r>
      <w:r w:rsidR="005221D8">
        <w:instrText xml:space="preserve"> ADDIN ZOTERO_ITEM CSL_CITATION {"citationID":"23np0ql95k","properties":{"formattedCitation":"(Donohoe et al., 2012)","plainCitation":"(Donohoe et al., 2012)"},"citationItems":[{"id":819,"uris":["http://zotero.org/users/local/ylr7WDKU/items/QQ68U4KG"],"uri":["http://zotero.org/users/local/ylr7WDKU/items/QQ68U4KG"],"itemData":{"id":819,"type":"article-journal","title":"The Relationship between ITCZ Location and Cross-Equatorial Atmospheric Heat Transport: From the Seasonal Cycle to the Last Glacial Maximum","container-title":"Journal of Climate","page":"3597-3618","volume":"26","issue":"11","source":"journals.ametsoc.org (Atypon)","abstract":"AbstractThe authors quantify the relationship between the location of the intertropical convergence zone (ITCZ) and the atmospheric heat transport across the equator (AHTEQ) in climate models and in observations. The observed zonal mean ITCZ location varies from 5.3°S in the boreal winter to 7.2°N in the boreal summer with an annual mean position of 1.65°N while the AHTEQ varies from 2.1 PW northward in the boreal winter to 2.3 PW southward in the boreal summer with an annual mean of 0.1 PW southward. Seasonal variations in the ITCZ location and AHTEQ are highly anticorrelated in the observations and in a suite of state-of-the-art coupled climate models with regression coefficients of −2.7° and −2.4° PW−1 respectively. It is also found that seasonal variations in ITCZ location and AHTEQ are well correlated in a suite of slab ocean aquaplanet simulations with varying ocean mixed layer depths. However, the regression coefficient between ITCZ location and AHTEQ decreases with decreasing mixed layer depth as a consequence of the asymmetry that develops between the winter and summer Hadley cells as the ITCZ moves farther off the equator.The authors go on to analyze the annual mean change in ITCZ location and AHTEQ in an ensemble of climate perturbation experiments including the response to CO2 doubling, simulations of the Last Glacial Maximum, and simulations of the mid-Holocene. The shift in the annual average ITCZ location is also strongly anticorrelated with the change in annual mean AHTEQ with a regression coefficient of −3.2° PW−1, similar to that found over the seasonal cycle.","DOI":"10.1175/JCLI-D-12-00467.1","ISSN":"0894-8755","shortTitle":"The Relationship between ITCZ Location and Cross-Equatorial Atmospheric Heat Transport","journalAbbreviation":"J. Climate","author":[{"family":"Donohoe","given":"Aaron"},{"family":"Marshall","given":"John"},{"family":"Ferreira","given":"David"},{"family":"Mcgee","given":"David"}],"issued":{"date-parts":[["2012",11,12]]},"accessed":{"date-parts":[["2015",4,22]]}}}],"schema":"https://github.com/citation-style-language/schema/raw/master/csl-citation.json"} </w:instrText>
      </w:r>
      <w:r w:rsidR="005221D8">
        <w:fldChar w:fldCharType="separate"/>
      </w:r>
      <w:r w:rsidR="005221D8">
        <w:rPr>
          <w:noProof/>
        </w:rPr>
        <w:t>Donohoe et al., 2012)</w:t>
      </w:r>
      <w:r w:rsidR="005221D8">
        <w:fldChar w:fldCharType="end"/>
      </w:r>
      <w:r w:rsidR="00D935C7">
        <w:t xml:space="preserve">.  Because the teleconnection between high and low </w:t>
      </w:r>
      <w:r w:rsidR="00D935C7">
        <w:lastRenderedPageBreak/>
        <w:t xml:space="preserve">latitudes is </w:t>
      </w:r>
      <w:r w:rsidR="007C1D5A">
        <w:t>through the atmosphere</w:t>
      </w:r>
      <w:r w:rsidR="00D935C7">
        <w:t>, the response of low-latitude atmospheric circulation is very rapid</w:t>
      </w:r>
      <w:r w:rsidR="005221D8">
        <w:t xml:space="preserve"> </w:t>
      </w:r>
      <w:r w:rsidR="005221D8">
        <w:fldChar w:fldCharType="begin"/>
      </w:r>
      <w:r w:rsidR="005221D8">
        <w:instrText xml:space="preserve"> ADDIN ZOTERO_ITEM CSL_CITATION {"citationID":"22dv3th6p0","properties":{"formattedCitation":"(Schneider et al., 2014)","plainCitation":"(Schneider et al., 2014)"},"citationItems":[{"id":822,"uris":["http://zotero.org/users/local/ylr7WDKU/items/K8ZCUD7Z"],"uri":["http://zotero.org/users/local/ylr7WDKU/items/K8ZCUD7Z"],"itemData":{"id":822,"type":"article-journal","title":"Migrations and dynamics of the intertropical convergence zone","container-title":"Nature","page":"45-53","volume":"513","issue":"7516","source":"www.nature.com","abstract":"Rainfall on Earth is most intense in the intertropical convergence zone (ITCZ), a narrow belt of clouds centred on average around six degrees north of the Equator. The mean position of the ITCZ north of the Equator arises primarily because the Atlantic Ocean transports energy northward across the Equator, rendering the Northern Hemisphere warmer than the Southern Hemisphere. On seasonal and longer timescales, the ITCZ migrates, typically towards a warming hemisphere but with exceptions, such as during El Niño events. An emerging framework links the ITCZ to the atmospheric energy balance and may account for ITCZ variations on timescales from years to geological epochs.","DOI":"10.1038/nature13636","ISSN":"0028-0836","journalAbbreviation":"Nature","language":"en","author":[{"family":"Schneider","given":"Tapio"},{"family":"Bischoff","given":"Tobias"},{"family":"Haug","given":"Gerald H."}],"issued":{"date-parts":[["2014",9,4]]},"accessed":{"date-parts":[["2015",4,22]]}}}],"schema":"https://github.com/citation-style-language/schema/raw/master/csl-citation.json"} </w:instrText>
      </w:r>
      <w:r w:rsidR="005221D8">
        <w:fldChar w:fldCharType="separate"/>
      </w:r>
      <w:r w:rsidR="005221D8">
        <w:rPr>
          <w:noProof/>
        </w:rPr>
        <w:t>(Schneider et al., 2014)</w:t>
      </w:r>
      <w:r w:rsidR="005221D8">
        <w:fldChar w:fldCharType="end"/>
      </w:r>
      <w:r w:rsidR="00D935C7">
        <w:t xml:space="preserve">.  In model studies, southward movement of the ITCZ </w:t>
      </w:r>
      <w:r w:rsidR="007F09C6">
        <w:t>in response to</w:t>
      </w:r>
      <w:r w:rsidR="00D935C7">
        <w:t xml:space="preserve"> imposed NH cooling occurs on the order of one decade</w:t>
      </w:r>
      <w:r w:rsidR="00B766CC">
        <w:t xml:space="preserve"> (Chiang and Friedman, 2012)</w:t>
      </w:r>
      <w:r w:rsidR="007C1D5A">
        <w:t>.</w:t>
      </w:r>
      <w:r w:rsidR="00655086">
        <w:t xml:space="preserve">  A</w:t>
      </w:r>
      <w:r w:rsidR="007C1D5A">
        <w:t xml:space="preserve">nalogous to changes observed for D/O events, the rapid increases in SASM (and EASM) intensity at 121 and 117 ka are </w:t>
      </w:r>
      <w:r w:rsidR="00655086">
        <w:t xml:space="preserve">likely </w:t>
      </w:r>
      <w:r w:rsidR="007C1D5A">
        <w:t xml:space="preserve">due </w:t>
      </w:r>
      <w:r w:rsidR="00655086">
        <w:t>in large part</w:t>
      </w:r>
      <w:r w:rsidR="007C1D5A">
        <w:t xml:space="preserve"> to rapid increases in ice cover and decreases in temperature in the high northern latitudes that cause an almost immediate response in low-latitude atmos</w:t>
      </w:r>
      <w:r w:rsidR="005221D8">
        <w:t xml:space="preserve">pheric circulation.  </w:t>
      </w:r>
      <w:r w:rsidR="00433EE4">
        <w:t>Thus, the observed low and high latitude climate changes are essentially synchronous.</w:t>
      </w:r>
    </w:p>
    <w:p w14:paraId="75995889" w14:textId="77777777" w:rsidR="00175985" w:rsidRDefault="00175985" w:rsidP="00D80426">
      <w:pPr>
        <w:spacing w:line="480" w:lineRule="auto"/>
      </w:pPr>
    </w:p>
    <w:p w14:paraId="55F8307F" w14:textId="6A56C816" w:rsidR="00A9495A" w:rsidRPr="00976E10" w:rsidRDefault="008B0AB7" w:rsidP="00B90AF7">
      <w:pPr>
        <w:spacing w:line="480" w:lineRule="auto"/>
        <w:rPr>
          <w:b/>
        </w:rPr>
      </w:pPr>
      <w:r w:rsidRPr="00976E10">
        <w:rPr>
          <w:b/>
        </w:rPr>
        <w:t xml:space="preserve">4.2 </w:t>
      </w:r>
      <w:r w:rsidR="000C3084" w:rsidRPr="00976E10">
        <w:rPr>
          <w:b/>
        </w:rPr>
        <w:t>Comparison to other records</w:t>
      </w:r>
    </w:p>
    <w:p w14:paraId="1EEE438F" w14:textId="77777777" w:rsidR="008B0AB7" w:rsidRPr="00976E10" w:rsidRDefault="008B0AB7" w:rsidP="00B90AF7">
      <w:pPr>
        <w:spacing w:line="480" w:lineRule="auto"/>
        <w:rPr>
          <w:b/>
        </w:rPr>
      </w:pPr>
      <w:r w:rsidRPr="00976E10">
        <w:rPr>
          <w:b/>
        </w:rPr>
        <w:t>4.2.1 Comparison to changes in East Asian Summer Monsoon</w:t>
      </w:r>
    </w:p>
    <w:p w14:paraId="3C612C46" w14:textId="5CA9CBE3" w:rsidR="00554DFF" w:rsidRDefault="00554DFF" w:rsidP="00B90AF7">
      <w:pPr>
        <w:spacing w:line="480" w:lineRule="auto"/>
      </w:pPr>
      <w:r>
        <w:t>Our record of SASM changes over the transition from MIS 5.5 to 5.4 is mirrored to a remarkable degree by observed changes in the East Asian Monsoon</w:t>
      </w:r>
      <w:r w:rsidR="00525BD7">
        <w:t xml:space="preserve"> (Fig. 2)</w:t>
      </w:r>
      <w:r>
        <w:t xml:space="preserve"> as recorded in </w:t>
      </w:r>
      <w:r w:rsidR="0043570D">
        <w:t>stalagmites from Dongge</w:t>
      </w:r>
      <w:r>
        <w:t xml:space="preserve"> Cave in China (Kelly et al.</w:t>
      </w:r>
      <w:r w:rsidR="00890ACE">
        <w:t xml:space="preserve">, </w:t>
      </w:r>
      <w:r w:rsidR="0043570D">
        <w:t>2006</w:t>
      </w:r>
      <w:r w:rsidR="00890ACE">
        <w:t xml:space="preserve">). These records are shown </w:t>
      </w:r>
      <w:r>
        <w:t xml:space="preserve">on independent chronologies established by U/Th dating, but with the scale for </w:t>
      </w:r>
      <w:r w:rsidRPr="000B129F">
        <w:rPr>
          <w:rFonts w:ascii="Symbol" w:hAnsi="Symbol"/>
        </w:rPr>
        <w:t></w:t>
      </w:r>
      <w:r w:rsidRPr="002C72BC">
        <w:rPr>
          <w:vertAlign w:val="superscript"/>
        </w:rPr>
        <w:t>18</w:t>
      </w:r>
      <w:r w:rsidRPr="002C72BC">
        <w:t>O</w:t>
      </w:r>
      <w:r w:rsidR="0043570D">
        <w:t xml:space="preserve"> for Dongge</w:t>
      </w:r>
      <w:r>
        <w:t xml:space="preserve"> inverted</w:t>
      </w:r>
      <w:r w:rsidR="00890ACE">
        <w:t xml:space="preserve"> (Fig. 2)</w:t>
      </w:r>
      <w:r>
        <w:t xml:space="preserve">. During the latter stages of MIS 5.5, the SASM is in a dry phase, while the EASM is in a wet phase. Isotopic values for both speleothems are fairly constant during MIS 5.5, </w:t>
      </w:r>
      <w:r w:rsidR="00FE03A5">
        <w:t xml:space="preserve">with the exception of a small decrease of about 0.8  ‰ in </w:t>
      </w:r>
      <w:r w:rsidR="00FE03A5" w:rsidRPr="000B129F">
        <w:rPr>
          <w:rFonts w:ascii="Symbol" w:hAnsi="Symbol"/>
        </w:rPr>
        <w:t></w:t>
      </w:r>
      <w:r w:rsidR="00FE03A5" w:rsidRPr="002C72BC">
        <w:rPr>
          <w:vertAlign w:val="superscript"/>
        </w:rPr>
        <w:t>18</w:t>
      </w:r>
      <w:r w:rsidR="00FE03A5" w:rsidRPr="002C72BC">
        <w:t>O</w:t>
      </w:r>
      <w:r w:rsidR="00FE03A5">
        <w:t xml:space="preserve"> values in Huagapo Cave that is mirrored by an increase of </w:t>
      </w:r>
      <w:r w:rsidR="006004E7">
        <w:t>about</w:t>
      </w:r>
      <w:r w:rsidR="00FE03A5">
        <w:t xml:space="preserve"> 0.5  ‰  in Hulu</w:t>
      </w:r>
      <w:r>
        <w:t xml:space="preserve">. </w:t>
      </w:r>
      <w:r w:rsidR="00F83002">
        <w:t>Both D3 and P10-H1 show a rapid ch</w:t>
      </w:r>
      <w:r w:rsidR="00DC5B27">
        <w:t xml:space="preserve">ange of more than 2 ‰ at 120.8 </w:t>
      </w:r>
      <w:r w:rsidR="00F83002">
        <w:t xml:space="preserve"> </w:t>
      </w:r>
      <w:r w:rsidR="00F83002">
        <w:rPr>
          <w:rFonts w:ascii="Cambria" w:hAnsi="Cambria"/>
        </w:rPr>
        <w:t>±</w:t>
      </w:r>
      <w:r w:rsidR="00F83002">
        <w:t xml:space="preserve"> 0.5 ka, with a sudden increase in SASM intensity and decrease in EASM intensity. </w:t>
      </w:r>
      <w:r w:rsidR="00D17E66">
        <w:t>In both records</w:t>
      </w:r>
      <w:r w:rsidR="00F83002">
        <w:t xml:space="preserve">, the majority of this change occurs over less than </w:t>
      </w:r>
      <w:r w:rsidR="005221D8">
        <w:lastRenderedPageBreak/>
        <w:t>6</w:t>
      </w:r>
      <w:r w:rsidR="00F83002">
        <w:t>00 y</w:t>
      </w:r>
      <w:r w:rsidR="00374A17">
        <w:t xml:space="preserve"> and possibly as fast as 200 y</w:t>
      </w:r>
      <w:r w:rsidR="00F83002">
        <w:t>. The absolute chronologies of these two tropical speleothems indicate the end of the last interglacial period was associated with a very large</w:t>
      </w:r>
      <w:r w:rsidR="00B95519">
        <w:t>, rapid</w:t>
      </w:r>
      <w:r w:rsidR="00F83002">
        <w:t xml:space="preserve"> change in tropical hyd</w:t>
      </w:r>
      <w:r w:rsidR="00B95519">
        <w:t>rology</w:t>
      </w:r>
      <w:r w:rsidR="00D17E66">
        <w:t xml:space="preserve"> that is synchronous in both hemispheres within the error of the chronologies.</w:t>
      </w:r>
      <w:r w:rsidR="00DA6C5F">
        <w:t xml:space="preserve"> </w:t>
      </w:r>
      <w:r w:rsidR="00F83002">
        <w:t xml:space="preserve"> </w:t>
      </w:r>
      <w:r w:rsidR="00B95519">
        <w:t>The</w:t>
      </w:r>
      <w:r>
        <w:t xml:space="preserve"> age estimate</w:t>
      </w:r>
      <w:r w:rsidR="00B95519">
        <w:t xml:space="preserve"> for </w:t>
      </w:r>
      <w:r w:rsidR="00B95519">
        <w:rPr>
          <w:rFonts w:ascii="Cambria" w:hAnsi="Cambria"/>
        </w:rPr>
        <w:t>rapid climatic change that marks the end of the last interglacial period</w:t>
      </w:r>
      <w:r w:rsidR="00B95519">
        <w:t xml:space="preserve"> in Peru and Dongge Cave is </w:t>
      </w:r>
      <w:r w:rsidR="00D17E66">
        <w:t xml:space="preserve">also </w:t>
      </w:r>
      <w:r>
        <w:t>with</w:t>
      </w:r>
      <w:r w:rsidR="00B95519">
        <w:t xml:space="preserve">in </w:t>
      </w:r>
      <w:r w:rsidR="00D17E66">
        <w:t xml:space="preserve">dating </w:t>
      </w:r>
      <w:r w:rsidR="00B95519">
        <w:t>error of</w:t>
      </w:r>
      <w:r>
        <w:t xml:space="preserve"> speleothems from China, 119 </w:t>
      </w:r>
      <w:r>
        <w:rPr>
          <w:rFonts w:ascii="Cambria" w:hAnsi="Cambria"/>
        </w:rPr>
        <w:t>±</w:t>
      </w:r>
      <w:r w:rsidR="00F83002">
        <w:t xml:space="preserve"> 0.6 ka </w:t>
      </w:r>
      <w:r w:rsidR="00235E6C">
        <w:fldChar w:fldCharType="begin"/>
      </w:r>
      <w:r w:rsidR="002B4F5A">
        <w:instrText xml:space="preserve"> ADDIN ZOTERO_ITEM CSL_CITATION {"citationID":"700eed690","properties":{"formattedCitation":"(Yuan et al., 2004)","plainCitation":"(Yuan et al., 2004)"},"citationItems":[{"id":386,"uris":["http://zotero.org/users/local/ylr7WDKU/items/7SG8GRVP"],"uri":["http://zotero.org/users/local/ylr7WDKU/items/7SG8GRVP"]}],"schema":"https://github.com/citation-style-language/schema/raw/master/csl-citation.json"} </w:instrText>
      </w:r>
      <w:r w:rsidR="00235E6C">
        <w:fldChar w:fldCharType="separate"/>
      </w:r>
      <w:r w:rsidR="00235E6C">
        <w:rPr>
          <w:noProof/>
        </w:rPr>
        <w:t>(Yuan et al., 2004)</w:t>
      </w:r>
      <w:r w:rsidR="00235E6C">
        <w:fldChar w:fldCharType="end"/>
      </w:r>
      <w:r w:rsidR="00F83002">
        <w:t>,</w:t>
      </w:r>
      <w:r w:rsidR="00AF52B9">
        <w:t xml:space="preserve"> </w:t>
      </w:r>
      <w:r>
        <w:t xml:space="preserve">the </w:t>
      </w:r>
      <w:r w:rsidR="00F83002">
        <w:t xml:space="preserve">European </w:t>
      </w:r>
      <w:r>
        <w:t xml:space="preserve">Alps 118 </w:t>
      </w:r>
      <w:r>
        <w:rPr>
          <w:rFonts w:ascii="Cambria" w:hAnsi="Cambria"/>
        </w:rPr>
        <w:t xml:space="preserve">± 2 ka </w:t>
      </w:r>
      <w:r w:rsidR="003F03AE">
        <w:rPr>
          <w:rFonts w:ascii="Cambria" w:hAnsi="Cambria"/>
        </w:rPr>
        <w:fldChar w:fldCharType="begin"/>
      </w:r>
      <w:r w:rsidR="00B61709">
        <w:rPr>
          <w:rFonts w:ascii="Cambria" w:hAnsi="Cambria"/>
        </w:rPr>
        <w:instrText xml:space="preserve"> ADDIN ZOTERO_ITEM CSL_CITATION {"citationID":"vle7inass","properties":{"formattedCitation":"(Meyer et al., 2008)","plainCitation":"(Meyer et al., 2008)"},"citationItems":[{"id":463,"uris":["http://zotero.org/users/local/ylr7WDKU/items/C2AW86E8"],"uri":["http://zotero.org/users/local/ylr7WDKU/items/C2AW86E8"],"itemData":{"id":463,"type":"article-journal","title":"The demise of the Last Interglacial recorded in isotopically dated speleothems from the Alps","container-title":"Quaternary Science Reviews","page":"476–496","volume":"27","issue":"5","source":"Google Scholar","author":[{"family":"Meyer","given":"M. C."},{"family":"Spötl","given":"C."},{"family":"Mangini","given":"A."}],"issued":{"date-parts":[["2008"]]},"accessed":{"date-parts":[["2012",9,5]]}}}],"schema":"https://github.com/citation-style-language/schema/raw/master/csl-citation.json"} </w:instrText>
      </w:r>
      <w:r w:rsidR="003F03AE">
        <w:rPr>
          <w:rFonts w:ascii="Cambria" w:hAnsi="Cambria"/>
        </w:rPr>
        <w:fldChar w:fldCharType="separate"/>
      </w:r>
      <w:r w:rsidR="003F03AE">
        <w:rPr>
          <w:rFonts w:ascii="Cambria" w:hAnsi="Cambria"/>
          <w:noProof/>
        </w:rPr>
        <w:t>(Meyer et al., 2008)</w:t>
      </w:r>
      <w:r w:rsidR="003F03AE">
        <w:rPr>
          <w:rFonts w:ascii="Cambria" w:hAnsi="Cambria"/>
        </w:rPr>
        <w:fldChar w:fldCharType="end"/>
      </w:r>
      <w:r w:rsidR="003F03AE">
        <w:rPr>
          <w:rFonts w:ascii="Cambria" w:hAnsi="Cambria"/>
        </w:rPr>
        <w:t xml:space="preserve"> </w:t>
      </w:r>
      <w:r>
        <w:rPr>
          <w:rFonts w:ascii="Cambria" w:hAnsi="Cambria"/>
        </w:rPr>
        <w:t>and the Eastern Mediterranean, 119 ± 3 k</w:t>
      </w:r>
      <w:r w:rsidR="003F03AE">
        <w:rPr>
          <w:rFonts w:ascii="Cambria" w:hAnsi="Cambria"/>
        </w:rPr>
        <w:t xml:space="preserve">a </w:t>
      </w:r>
      <w:r w:rsidR="00252B19">
        <w:rPr>
          <w:rFonts w:ascii="Cambria" w:hAnsi="Cambria"/>
        </w:rPr>
        <w:fldChar w:fldCharType="begin"/>
      </w:r>
      <w:r w:rsidR="00B61709">
        <w:rPr>
          <w:rFonts w:ascii="Cambria" w:hAnsi="Cambria"/>
        </w:rPr>
        <w:instrText xml:space="preserve"> ADDIN ZOTERO_ITEM CSL_CITATION {"citationID":"18gpc9srgo","properties":{"formattedCitation":"(Bar-Matthews et al., 2003)","plainCitation":"(Bar-Matthews et al., 2003)"},"citationItems":[{"id":338,"uris":["http://zotero.org/users/local/ylr7WDKU/items/PP79R5ZD"],"uri":["http://zotero.org/users/local/ylr7WDKU/items/PP79R5ZD"],"itemData":{"id":338,"type":"article-journal","title":"Sea-land oxygen isotopic relationships from planktonic foraminifera and speleothems in the Eastern Mediterranean region and their implication for paleorainfall during interglacial intervals","container-title":"GEOCHIMICA ET COSMOCHIMICA ACTA","page":"3181-3199","volume":"67","issue":"17","abstract":"The oxygen and carbon stable isotope compositions of cave speleothems provide a powerful method for understanding continental climate change. Here, we examine the question of the regionality of this isotopic record and its linkage with the marine isotopic record in the Eastern Mediterranean (EM) region. The study presents a new, accurately dated 250-kyr delta(18)O and VC record determined from speleothems of the Peqiin Cave, Northern Israel. Its comparison with the continuous 185-kyr isotopic record of the Soreq Cave speleothems from Central Israel reveals striking similarities. Thus, a strong regional climatic signal, brought about by variations in temperature and rainfall amount, is reflected in both cave records. Low delta(18)O minima in the Peqiin profile for the last 250- to 185-kyr period (interglacial marine isotopic stage 7) match the timing of sapropels 9 to 7 and are indicative of high rainfall in the EM region at these times. The combined Soreq and Peqiin 8180 record for the last 250 kyr excellently matches the published Globigerinoides ruber (G. ruber) marine delta(18)O record for the EM Sea, with the isotopic compositional difference Delta(G.ruber-speleothems) remaining relatively constant at -5.6 +/- 0.7%, thus establishing for the first time a robust, exploitable link between the land and the marine isotopic records. The correspondence of low delta(18)O speleothem values and high cave water stands with low G. ruber delta(18)O values during interglacial sapropel events indicates that these periods were characterized by enhanced rainfall in the EM land and sea regions. By use of sea surface temperatures derived from alkenone data as a proxy for land temperatures at the Soreq Cave, we calculate the paleorainfall delta(18)O values and its amounts. Maximum rainfall and lowest temperature conditions occurred at the beginning of the sapropel events and were followed by decrease in rainfall and increase in temperatures, leading to and conditions. The record for the last 7000 yr shows a trend toward increasing aridity and agrees well with climatic and archeological data from North Africa and the Middle East. Copyright (C) 2003 Elsevier Ltd.","DOI":"10.1016/S0016-7037(02)01031-1","ISSN":"0016-7037","language":"English","author":[{"family":"Bar-Matthews","given":"M"},{"family":"Ayalon","given":"A"},{"family":"Gilmour","given":"M"},{"family":"Matthews","given":"A"},{"family":"Hawkesworth","given":"CJ"}],"issued":{"date-parts":[["2003",9]]}}}],"schema":"https://github.com/citation-style-language/schema/raw/master/csl-citation.json"} </w:instrText>
      </w:r>
      <w:r w:rsidR="00252B19">
        <w:rPr>
          <w:rFonts w:ascii="Cambria" w:hAnsi="Cambria"/>
        </w:rPr>
        <w:fldChar w:fldCharType="separate"/>
      </w:r>
      <w:r w:rsidR="00252B19">
        <w:rPr>
          <w:rFonts w:ascii="Cambria" w:hAnsi="Cambria"/>
          <w:noProof/>
        </w:rPr>
        <w:t>(Bar-Matthews et al., 2003)</w:t>
      </w:r>
      <w:r w:rsidR="00252B19">
        <w:rPr>
          <w:rFonts w:ascii="Cambria" w:hAnsi="Cambria"/>
        </w:rPr>
        <w:fldChar w:fldCharType="end"/>
      </w:r>
      <w:r>
        <w:rPr>
          <w:rFonts w:ascii="Cambria" w:hAnsi="Cambria"/>
        </w:rPr>
        <w:t xml:space="preserve">. </w:t>
      </w:r>
      <w:r w:rsidR="00DA6C5F">
        <w:rPr>
          <w:rFonts w:ascii="Cambria" w:hAnsi="Cambria"/>
        </w:rPr>
        <w:t xml:space="preserve"> </w:t>
      </w:r>
      <w:r w:rsidR="00AC0A76">
        <w:rPr>
          <w:rFonts w:ascii="Cambria" w:hAnsi="Cambria"/>
        </w:rPr>
        <w:t>Following this r</w:t>
      </w:r>
      <w:r w:rsidR="00F83002">
        <w:rPr>
          <w:rFonts w:ascii="Cambria" w:hAnsi="Cambria"/>
        </w:rPr>
        <w:t>apid shift is a p</w:t>
      </w:r>
      <w:r>
        <w:t>eriod of slower change from 121-117 during which both isotopic time series parallel their respective summer insolation curves (Fig.</w:t>
      </w:r>
      <w:r w:rsidR="00D17E66">
        <w:t xml:space="preserve"> 2</w:t>
      </w:r>
      <w:r>
        <w:t xml:space="preserve">). </w:t>
      </w:r>
      <w:r w:rsidR="00DA6C5F">
        <w:t xml:space="preserve"> </w:t>
      </w:r>
      <w:r>
        <w:t xml:space="preserve">A second rapid </w:t>
      </w:r>
      <w:r w:rsidR="00F83002">
        <w:t>shift is observed at 117 ka (117.5 in Dongge</w:t>
      </w:r>
      <w:r>
        <w:t>)</w:t>
      </w:r>
      <w:r w:rsidR="00F83002">
        <w:t xml:space="preserve"> with the SASM fur</w:t>
      </w:r>
      <w:r w:rsidR="00AC0A76">
        <w:t>t</w:t>
      </w:r>
      <w:r w:rsidR="00F83002">
        <w:t>her strengthening and the EAM further weakening</w:t>
      </w:r>
      <w:r>
        <w:t xml:space="preserve">. </w:t>
      </w:r>
    </w:p>
    <w:p w14:paraId="7D39FB11" w14:textId="77777777" w:rsidR="00AC0A76" w:rsidRDefault="00AC0A76" w:rsidP="00B90AF7">
      <w:pPr>
        <w:spacing w:line="480" w:lineRule="auto"/>
      </w:pPr>
    </w:p>
    <w:p w14:paraId="388D75C2" w14:textId="248562E2" w:rsidR="008B0AB7" w:rsidRPr="00976E10" w:rsidRDefault="008B0AB7" w:rsidP="00B90AF7">
      <w:pPr>
        <w:spacing w:line="480" w:lineRule="auto"/>
        <w:rPr>
          <w:b/>
        </w:rPr>
      </w:pPr>
      <w:r w:rsidRPr="00976E10">
        <w:rPr>
          <w:b/>
        </w:rPr>
        <w:t>4.2.2 Comparison to ice core records</w:t>
      </w:r>
    </w:p>
    <w:p w14:paraId="38FAC08C" w14:textId="5D604D44" w:rsidR="00CA5DB4" w:rsidRDefault="00D23BCA" w:rsidP="00B90AF7">
      <w:pPr>
        <w:spacing w:line="480" w:lineRule="auto"/>
      </w:pPr>
      <w:r>
        <w:t xml:space="preserve">Figure 3 </w:t>
      </w:r>
      <w:r w:rsidR="00C3772A">
        <w:t xml:space="preserve">shows the P10-H1 data along </w:t>
      </w:r>
      <w:r>
        <w:t xml:space="preserve">with </w:t>
      </w:r>
      <w:r w:rsidR="00C3772A" w:rsidRPr="006B5699">
        <w:rPr>
          <w:rFonts w:ascii="Symbol" w:hAnsi="Symbol"/>
        </w:rPr>
        <w:t></w:t>
      </w:r>
      <w:r w:rsidR="00C3772A" w:rsidRPr="00C866DA">
        <w:rPr>
          <w:vertAlign w:val="superscript"/>
        </w:rPr>
        <w:t>18</w:t>
      </w:r>
      <w:r w:rsidR="00C3772A" w:rsidRPr="00C866DA">
        <w:t xml:space="preserve">O </w:t>
      </w:r>
      <w:r w:rsidR="00C3772A">
        <w:t xml:space="preserve">of ice from the NGRIP ice core, </w:t>
      </w:r>
      <w:r w:rsidR="00C3772A" w:rsidRPr="006B5699">
        <w:rPr>
          <w:rFonts w:ascii="Symbol" w:hAnsi="Symbol"/>
        </w:rPr>
        <w:t></w:t>
      </w:r>
      <w:r w:rsidR="00C3772A" w:rsidRPr="00C866DA">
        <w:rPr>
          <w:vertAlign w:val="superscript"/>
        </w:rPr>
        <w:t>18</w:t>
      </w:r>
      <w:r w:rsidR="00C3772A" w:rsidRPr="00C866DA">
        <w:t xml:space="preserve">O </w:t>
      </w:r>
      <w:r w:rsidR="00C3772A">
        <w:t xml:space="preserve">of values of atmospheric oxygen from the Vostok ice core and </w:t>
      </w:r>
      <w:r>
        <w:t>atmospheric methane concentration</w:t>
      </w:r>
      <w:r w:rsidR="00C3772A">
        <w:t>s from the EPICA dome C core</w:t>
      </w:r>
      <w:r>
        <w:t>. To incorporate more broadly the P10-H1 data with later changes in the SASM, we spliced data from stalagmite BT2 from Botuvera Cave in southern Brazil (Cruz et al., 2005) to the end of the P10-H1 re</w:t>
      </w:r>
      <w:r w:rsidR="00CA5DB4">
        <w:t>cord.  As is the case for P10-H1</w:t>
      </w:r>
      <w:r>
        <w:t>, the oxygen isotopic values of BT2 are primarily a function of the intensity rainfall in the SASM</w:t>
      </w:r>
      <w:r w:rsidR="00CA5DB4">
        <w:t xml:space="preserve"> (Cruz et al., 2005)</w:t>
      </w:r>
      <w:r>
        <w:t xml:space="preserve">.  The growth period of BT2 overlaps growth of P10-H1 for about 2000 y. To put both data sets onto a common </w:t>
      </w:r>
      <w:r w:rsidRPr="006B5699">
        <w:rPr>
          <w:rFonts w:ascii="Symbol" w:hAnsi="Symbol"/>
        </w:rPr>
        <w:t></w:t>
      </w:r>
      <w:r w:rsidRPr="00C866DA">
        <w:rPr>
          <w:vertAlign w:val="superscript"/>
        </w:rPr>
        <w:t>18</w:t>
      </w:r>
      <w:r w:rsidRPr="00C866DA">
        <w:t>O</w:t>
      </w:r>
      <w:r>
        <w:t xml:space="preserve"> scale, 12.5 ‰ was subtracted from the BT2 values, yielding very similar values </w:t>
      </w:r>
      <w:r>
        <w:lastRenderedPageBreak/>
        <w:t xml:space="preserve">for the period of overlap. The BT2 age model was also adjusted for part of the record presented here. Stalagmite BT2 has only four age measurements over the oldest 35 ky of deposition and the errors for these ages are all greater than 2% (Cruz et al., 2005). The large isotopic shift at the start of GIS 24 is very well dated in speleothems from Dongge Cave in China (Kelly et al., 2006) and the European Alps </w:t>
      </w:r>
      <w:r w:rsidR="001D6E20">
        <w:fldChar w:fldCharType="begin"/>
      </w:r>
      <w:r w:rsidR="00B61709">
        <w:instrText xml:space="preserve"> ADDIN ZOTERO_ITEM CSL_CITATION {"citationID":"2ojnpnv5pm","properties":{"formattedCitation":"(Boch et al., 2011)","plainCitation":"(Boch et al., 2011)"},"citationItems":[{"id":501,"uris":["http://zotero.org/users/local/ylr7WDKU/items/9TBFDERG"],"uri":["http://zotero.org/users/local/ylr7WDKU/items/9TBFDERG"],"itemData":{"id":501,"type":"article-journal","title":"NALPS: a precisely dated European climate record 120–60 ka","container-title":"Clim. Past","page":"1247-1259","volume":"7","issue":"4","source":"Copernicus Online Journals","abstract":"Accurate and precise chronologies are essential in understanding the rapid and recurrent climate variations of the Last Glacial – known as Dansgaard-Oeschger (D-O) events – found in the Greenland ice cores and other climate archives. The existing chronological uncertainties during the Last Glacial, however, are still large. Radiometric age data and stable isotopic signals from speleothems are promising to improve the absolute chronology. We present a record of several precisely dated stalagmites from caves located at the northern rim of the Alps (NALPS), a region that favours comparison with the climate in Greenland. The record covers most of the interval from 120 to 60 ka at an average temporal resolution of 2 to 22 yr and 2σ-age uncertainties of ca. 200 to 500 yr. The rapid and large oxygen isotope shifts of 1 to 4.5‰ occurred within decades to centuries and strongly mimic the Greenland D-O pattern. Compared to the updated Greenland ice-core timescale (GICC05modelext) the NALPS record confirms the timing of rapid warming and cooling transitions between 118 and 106 ka, but suggests younger ages for D-O events between 106 and 60 ka. As an exception, the timing of the rapid transitions into and out of the stadial following GI 22 is earlier in NALPS than in the Greenland ice-core timescale. In addition, there is a discrepancy in the duration of this stadial between the ice-core and the stalagmite chronology (ca. 2900 vs. 3650 yr). The short-lived D-O events 18 and 18.1 are not recorded in NALPS, provoking questions with regard to the nature and the regional expression of these events. NALPS resolves recurrent short-lived climate changes within the cold Greenland stadial and warm interstadial successions, i.e. abrupt warming events preceding GI 21 and 23 (precursor-type events) and at the end of GI 21 and 25 (rebound-type events), as well as intermittent cooling events during GI 22 and 24. Such superimposed events have not yet been documented outside Greenland.","DOI":"10.5194/cp-7-1247-2011","ISSN":"1814-9332","shortTitle":"NALPS","journalAbbreviation":"Clim. Past","author":[{"family":"Boch","given":"R."},{"family":"Cheng","given":"H."},{"family":"Spötl","given":"C."},{"family":"Edwards","given":"R. L."},{"family":"Wang","given":"X."},{"family":"Häuselmann","given":"Ph."}],"issued":{"date-parts":[["2011",11,24]]},"accessed":{"date-parts":[["2014",7,9]]}}}],"schema":"https://github.com/citation-style-language/schema/raw/master/csl-citation.json"} </w:instrText>
      </w:r>
      <w:r w:rsidR="001D6E20">
        <w:fldChar w:fldCharType="separate"/>
      </w:r>
      <w:r w:rsidR="001D6E20">
        <w:rPr>
          <w:noProof/>
        </w:rPr>
        <w:t>(Boch et al., 2011)</w:t>
      </w:r>
      <w:r w:rsidR="001D6E20">
        <w:fldChar w:fldCharType="end"/>
      </w:r>
      <w:r>
        <w:t xml:space="preserve">. Therefore, the age of this shift in BT2 was adjusted to 108.0 ka to match the better-dated records. The age adjustment ranges from a maximum of 2700 years at this shift, and decreases to 0 years for ages younger than 102 ka and older than 114 ka. The portion of overlap between BT2 and P10-H1 was not adjusted. </w:t>
      </w:r>
    </w:p>
    <w:p w14:paraId="153D4EB9" w14:textId="77777777" w:rsidR="00CA5DB4" w:rsidRDefault="00CA5DB4" w:rsidP="00B90AF7">
      <w:pPr>
        <w:spacing w:line="480" w:lineRule="auto"/>
      </w:pPr>
    </w:p>
    <w:p w14:paraId="76423D91" w14:textId="739DFC0C" w:rsidR="00FD18B8" w:rsidRDefault="00933C5A" w:rsidP="00B90AF7">
      <w:pPr>
        <w:spacing w:line="480" w:lineRule="auto"/>
      </w:pPr>
      <w:r>
        <w:t xml:space="preserve">The addition of a record of SASM intensity over the period of glacial inception and the early glacial period leads to the following observations. The GISs 23, 24 and 25 all appear to have a global signal, with increases in atmospheric methane and a decrease in SASM intensity associated with each. </w:t>
      </w:r>
      <w:r w:rsidR="00661E12">
        <w:t xml:space="preserve"> </w:t>
      </w:r>
      <w:r w:rsidR="00A05AAD">
        <w:t>Nearly every D/O event found in the ice cores and speleothems is coupled with a parallel cha</w:t>
      </w:r>
      <w:r w:rsidR="00661E12">
        <w:t xml:space="preserve">nge in atmospheric methane </w:t>
      </w:r>
      <w:r w:rsidR="00661E12">
        <w:fldChar w:fldCharType="begin"/>
      </w:r>
      <w:r w:rsidR="00B61709">
        <w:instrText xml:space="preserve"> ADDIN ZOTERO_ITEM CSL_CITATION {"citationID":"22hnle45kq","properties":{"formattedCitation":"(Chappellaz et al., 2013)","plainCitation":"(Chappellaz et al., 2013)"},"citationItems":[{"id":614,"uris":["http://zotero.org/users/local/ylr7WDKU/items/IKFPRGRX"],"uri":["http://zotero.org/users/local/ylr7WDKU/items/IKFPRGRX"],"itemData":{"id":614,"type":"article-journal","title":"High-resolution glacial and deglacial record of atmospheric methane by continuous-flow and laser spectrometer analysis along the NEEM ice core","container-title":"Clim. Past","page":"2579-2593","volume":"9","issue":"6","source":"Copernicus Online Journals","abstract":"The Greenland NEEM (North Greenland Eemian Ice Drilling) operation in 2010 provided the first opportunity to combine trace-gas measurements by laser spectroscopic instruments and continuous-flow analysis along a freshly drilled ice core in a field-based setting. We present the resulting atmospheric methane (CH4) record covering the time period from 107.7 to 9.5 ka b2k (thousand years before 2000 AD). Companion discrete CH4 measurements are required to transfer the laser spectroscopic data from a relative to an absolute scale. However, even on a relative scale, the high-resolution CH4 data set significantly improves our knowledge of past atmospheric methane concentration changes. New significant sub-millennial-scale features appear during interstadials and stadials, generally associated with similar changes in water isotopic ratios of the ice, a proxy for local temperature. In addition to the midpoint of Dansgaard–Oeschger (D/O) CH4 transitions usually used for cross-dating, sharp definition of the start and end of these events brings precise depth markers (with ±20 cm uncertainty) for further cross-dating with other palaeo- or ice core records, e.g. speleothems. The method also provides an estimate of CH4 rates of change. The onsets of D/O events in the methane signal show a more rapid rate of change than their endings. The rate of CH4 increase associated with the onsets of D/O events progressively declines from 1.7 to 0.6 ppbv yr−1 in the course of marine isotope stage 3. The largest observed rate of increase takes place at the onset of D/O event #21 and reaches 2.5 ppbv yr−1.","DOI":"10.5194/cp-9-2579-2013","ISSN":"1814-9332","journalAbbreviation":"Clim. Past","author":[{"family":"Chappellaz","given":"J."},{"family":"Stowasser","given":"C."},{"family":"Blunier","given":"T."},{"family":"Baslev-Clausen","given":"D."},{"family":"Brook","given":"E. J."},{"family":"Dallmayr","given":"R."},{"family":"Faïn","given":"X."},{"family":"Lee","given":"J. E."},{"family":"Mitchell","given":"L. E."},{"family":"Pascual","given":"O."},{"family":"Romanini","given":"D."},{"family":"Rosen","given":"J."},{"family":"Schüpbach","given":"S."}],"issued":{"date-parts":[["2013",11,14]]},"accessed":{"date-parts":[["2014",7,15]]}}}],"schema":"https://github.com/citation-style-language/schema/raw/master/csl-citation.json"} </w:instrText>
      </w:r>
      <w:r w:rsidR="00661E12">
        <w:fldChar w:fldCharType="separate"/>
      </w:r>
      <w:r w:rsidR="00661E12">
        <w:rPr>
          <w:noProof/>
        </w:rPr>
        <w:t>(Chappellaz et al., 2013)</w:t>
      </w:r>
      <w:r w:rsidR="00661E12">
        <w:fldChar w:fldCharType="end"/>
      </w:r>
      <w:r w:rsidR="0058629D">
        <w:t>, with G</w:t>
      </w:r>
      <w:r w:rsidR="00A05AAD">
        <w:t>reenland inter</w:t>
      </w:r>
      <w:r w:rsidR="0058629D">
        <w:t>stadials</w:t>
      </w:r>
      <w:r w:rsidR="00A05AAD">
        <w:t xml:space="preserve"> associated with higher methane concentrations. This relationship is also clearly present in the earliest stages of the glacial</w:t>
      </w:r>
      <w:r w:rsidR="0058629D">
        <w:t xml:space="preserve"> period, with </w:t>
      </w:r>
      <w:r w:rsidR="00A05AAD">
        <w:t>GIS</w:t>
      </w:r>
      <w:r w:rsidR="0058629D">
        <w:t xml:space="preserve">s 24, 25, and 26 expressed as positive </w:t>
      </w:r>
      <w:r w:rsidR="0058629D" w:rsidRPr="000B129F">
        <w:rPr>
          <w:rFonts w:ascii="Symbol" w:hAnsi="Symbol"/>
        </w:rPr>
        <w:t></w:t>
      </w:r>
      <w:r w:rsidR="0058629D" w:rsidRPr="002C72BC">
        <w:rPr>
          <w:vertAlign w:val="superscript"/>
        </w:rPr>
        <w:t>18</w:t>
      </w:r>
      <w:r w:rsidR="0058629D" w:rsidRPr="002C72BC">
        <w:t>O</w:t>
      </w:r>
      <w:r w:rsidR="0058629D">
        <w:t xml:space="preserve"> excursions in H09-10b, and increases in methane concentrations in the Vostock and EPICA Dome C ice cores (Fig. </w:t>
      </w:r>
      <w:r w:rsidR="00661E12">
        <w:t>3</w:t>
      </w:r>
      <w:r w:rsidR="0058629D">
        <w:t xml:space="preserve">).  By aligning the rapid changes in methane with rapid changes in </w:t>
      </w:r>
      <w:r w:rsidR="0058629D" w:rsidRPr="000B129F">
        <w:rPr>
          <w:rFonts w:ascii="Symbol" w:hAnsi="Symbol"/>
        </w:rPr>
        <w:t></w:t>
      </w:r>
      <w:r w:rsidR="0058629D" w:rsidRPr="002C72BC">
        <w:rPr>
          <w:vertAlign w:val="superscript"/>
        </w:rPr>
        <w:t>18</w:t>
      </w:r>
      <w:r w:rsidR="0058629D" w:rsidRPr="002C72BC">
        <w:t>O</w:t>
      </w:r>
      <w:r w:rsidR="0058629D">
        <w:t xml:space="preserve"> in the speleothems, a chronology for changes in atmospheric gas concentrations can be established that is independent of age models for the ice </w:t>
      </w:r>
      <w:r w:rsidR="0058629D">
        <w:lastRenderedPageBreak/>
        <w:t xml:space="preserve">cores themselves and independent of the lag in the age of trapped gases with respect to the ice itself. </w:t>
      </w:r>
      <w:r w:rsidR="00FD18B8">
        <w:t xml:space="preserve"> Based on the observed relationship between methane concentrations and millennial-scale events</w:t>
      </w:r>
      <w:r w:rsidR="00D71213" w:rsidRPr="00D71213">
        <w:t xml:space="preserve"> </w:t>
      </w:r>
      <w:r w:rsidR="00D71213">
        <w:t>during MIS 3 from speleothems in the region (</w:t>
      </w:r>
      <w:r w:rsidR="00FD18B8">
        <w:t xml:space="preserve">Kanner et al., 2012), the three methane peaks very likely are coeval with the millennial events in the tropics and with GIS 23, 24 and 25. If so, then either the </w:t>
      </w:r>
      <w:r w:rsidR="00615AE7">
        <w:t>GT4</w:t>
      </w:r>
      <w:r w:rsidR="00FD18B8">
        <w:t xml:space="preserve"> chronology for Antarctic ice is a few thousand years too young, or the estimated gas age-ice age difference is too large by a similar amount.</w:t>
      </w:r>
    </w:p>
    <w:p w14:paraId="4ED78B91" w14:textId="77777777" w:rsidR="0058629D" w:rsidRDefault="0058629D" w:rsidP="00B90AF7">
      <w:pPr>
        <w:spacing w:line="480" w:lineRule="auto"/>
      </w:pPr>
    </w:p>
    <w:p w14:paraId="078631AD" w14:textId="5FF5D635" w:rsidR="001206CF" w:rsidRDefault="008A71FE" w:rsidP="00B90AF7">
      <w:pPr>
        <w:spacing w:line="480" w:lineRule="auto"/>
      </w:pPr>
      <w:r>
        <w:t>I</w:t>
      </w:r>
      <w:r w:rsidR="00EF4477">
        <w:t xml:space="preserve">ce core atmospheric oxygen </w:t>
      </w:r>
      <w:r w:rsidR="00EF4477" w:rsidRPr="003E3B21">
        <w:rPr>
          <w:rFonts w:ascii="Symbol" w:hAnsi="Symbol"/>
        </w:rPr>
        <w:t></w:t>
      </w:r>
      <w:r w:rsidR="00EF4477" w:rsidRPr="003E3B21">
        <w:rPr>
          <w:vertAlign w:val="superscript"/>
        </w:rPr>
        <w:t>18</w:t>
      </w:r>
      <w:r w:rsidR="00EF4477">
        <w:t xml:space="preserve">O data </w:t>
      </w:r>
      <w:r>
        <w:t xml:space="preserve">from Vostock are also shown in Figure 3. The </w:t>
      </w:r>
      <w:r w:rsidRPr="003E3B21">
        <w:rPr>
          <w:rFonts w:ascii="Symbol" w:hAnsi="Symbol"/>
        </w:rPr>
        <w:t></w:t>
      </w:r>
      <w:r w:rsidRPr="003E3B21">
        <w:rPr>
          <w:vertAlign w:val="superscript"/>
        </w:rPr>
        <w:t>18</w:t>
      </w:r>
      <w:r>
        <w:t>O</w:t>
      </w:r>
      <w:r>
        <w:rPr>
          <w:vertAlign w:val="subscript"/>
        </w:rPr>
        <w:t>atm</w:t>
      </w:r>
      <w:r>
        <w:t xml:space="preserve"> values reach a first minimum following MIS 5.5 that is coincident with the first minimum in atmospheric methane, which the speleothem chronologies place at 116 ka, just at the transition from GS25 to GIS25 </w:t>
      </w:r>
      <w:r w:rsidR="001D6E20">
        <w:fldChar w:fldCharType="begin"/>
      </w:r>
      <w:r w:rsidR="00B61709">
        <w:instrText xml:space="preserve"> ADDIN ZOTERO_ITEM CSL_CITATION {"citationID":"1uae2k5rte","properties":{"formattedCitation":"(Landais et al., 2006)","plainCitation":"(Landais et al., 2006)"},"citationItems":[{"id":477,"uris":["http://zotero.org/users/local/ylr7WDKU/items/QZNA6T7I"],"uri":["http://zotero.org/users/local/ylr7WDKU/items/QZNA6T7I"],"itemData":{"id":477,"type":"article-journal","title":"The glacial inception as recorded in the NorthGRIP Greenland ice core: timing, structure and associated abrupt temperature changes","container-title":"Climate dynamics","page":"273–284","volume":"26","issue":"2","source":"Google Scholar","shortTitle":"The glacial inception as recorded in the NorthGRIP Greenland ice core","author":[{"family":"Landais","given":"A."},{"family":"Masson-Delmotte","given":"V."},{"family":"Jouzel","given":"J."},{"family":"Raynaud","given":"D."},{"family":"Johnsen","given":"S."},{"family":"Huber","given":"C."},{"family":"Leuenberger","given":"M."},{"family":"Schwander","given":"J."},{"family":"Minster","given":"B."}],"issued":{"date-parts":[["2006"]]},"accessed":{"date-parts":[["2012",9,5]]}}}],"schema":"https://github.com/citation-style-language/schema/raw/master/csl-citation.json"} </w:instrText>
      </w:r>
      <w:r w:rsidR="001D6E20">
        <w:fldChar w:fldCharType="separate"/>
      </w:r>
      <w:r w:rsidR="001D6E20">
        <w:rPr>
          <w:noProof/>
        </w:rPr>
        <w:t>(Landais et al., 2006)</w:t>
      </w:r>
      <w:r w:rsidR="001D6E20">
        <w:fldChar w:fldCharType="end"/>
      </w:r>
      <w:r>
        <w:t xml:space="preserve">. </w:t>
      </w:r>
      <w:r w:rsidR="00DC3B7B">
        <w:t>We show the EDC</w:t>
      </w:r>
      <w:r>
        <w:t xml:space="preserve"> methane</w:t>
      </w:r>
      <w:r w:rsidR="00DC3B7B">
        <w:t xml:space="preserve"> record because it is higher resolution that Vostok methane</w:t>
      </w:r>
      <w:r w:rsidR="008F7CCB">
        <w:t xml:space="preserve"> (</w:t>
      </w:r>
      <w:r>
        <w:t>note that both are on the same timescale</w:t>
      </w:r>
      <w:r w:rsidR="008F7CCB">
        <w:t>)</w:t>
      </w:r>
      <w:r w:rsidR="00DC3B7B">
        <w:t>.</w:t>
      </w:r>
      <w:r w:rsidR="00661E12">
        <w:t xml:space="preserve">  </w:t>
      </w:r>
      <w:r w:rsidR="00933C5A">
        <w:t xml:space="preserve">The large change in tropical hydrology associated with this decrease supports the hypothesis that on millennial timescales </w:t>
      </w:r>
      <w:r w:rsidR="00933C5A" w:rsidRPr="003E3B21">
        <w:rPr>
          <w:rFonts w:ascii="Symbol" w:hAnsi="Symbol"/>
        </w:rPr>
        <w:t></w:t>
      </w:r>
      <w:r w:rsidR="00933C5A" w:rsidRPr="003E3B21">
        <w:rPr>
          <w:vertAlign w:val="superscript"/>
        </w:rPr>
        <w:t>18</w:t>
      </w:r>
      <w:r w:rsidR="001A4253">
        <w:t xml:space="preserve">O </w:t>
      </w:r>
      <w:r w:rsidR="001A4253" w:rsidRPr="001A0326">
        <w:rPr>
          <w:vertAlign w:val="subscript"/>
        </w:rPr>
        <w:t>atm</w:t>
      </w:r>
      <w:r w:rsidR="001A4253">
        <w:t xml:space="preserve"> responds strongly to changes in the monsoons</w:t>
      </w:r>
      <w:r w:rsidR="008B0AB7">
        <w:t xml:space="preserve"> </w:t>
      </w:r>
      <w:r w:rsidR="006C1BCF">
        <w:fldChar w:fldCharType="begin"/>
      </w:r>
      <w:r w:rsidR="00B61709">
        <w:instrText xml:space="preserve"> ADDIN ZOTERO_ITEM CSL_CITATION {"citationID":"huvhkjc2i","properties":{"formattedCitation":"(Bender et al., 1994)","plainCitation":"(Bender et al., 1994)"},"citationItems":[{"id":619,"uris":["http://zotero.org/users/local/ylr7WDKU/items/2W9KXFFS"],"uri":["http://zotero.org/users/local/ylr7WDKU/items/2W9KXFFS"],"itemData":{"id":619,"type":"article-journal","title":"The Dole Effect and its variations during the last 130,000 years as measured in the Vostok Ice Core","container-title":"Global Biogeochemical Cycles","page":"363-376","volume":"8","issue":"3","source":"Wiley Online Library","abstract":"We review the current understanding of the Dole effect (the observed difference between the δ18O of atmospheric O2 and that of seawater) and its causes, extend the record of variations in the Dole effect back to 130 kyr before present using data on the δ18O of O2 obtained from studying the Vostok ice core (Sowers et al., 1993), and discuss the significance of temporal variations. The Dole effect reflects oxygen isotope fractionation during photosynthesis, respiration, and hydrologic processes (evaporation, precipitation, and evapotranspiration). Our best prediction of the present-day Dole effect, +20.8‰, is considerably lower than the observed value, +23.5‰, and we discuss possible causes of this discrepancy. During the past 130 kyr, the Dole effect has been 0.05‰ lower than the present value, on average. The standard deviation of the Dole effect from the mean has been only ±0.2‰, and the Dole effect is nearly unchanged between glacial maxima and interglacial periods. The small variability in the Dole effect suggests that relative rates of primary production in the land and marine realms have been relatively constant. Most periodic variability in the Dole effect is in the precession band, suggesting that changes in this global biogeochemical term reflects variations in low-latitude land hydrology and productivity or possibly variability in low-latitude oceanic productivity.","DOI":"10.1029/94GB00724","ISSN":"1944-9224","journalAbbreviation":"Global Biogeochem. Cycles","language":"en","author":[{"family":"Bender","given":"Michael"},{"family":"Sowers","given":"Todd"},{"family":"Labeyrie","given":"Laurent"}],"issued":{"date-parts":[["1994",9,1]]},"accessed":{"date-parts":[["2014",7,15]]}}}],"schema":"https://github.com/citation-style-language/schema/raw/master/csl-citation.json"} </w:instrText>
      </w:r>
      <w:r w:rsidR="006C1BCF">
        <w:fldChar w:fldCharType="separate"/>
      </w:r>
      <w:r w:rsidR="006C1BCF">
        <w:rPr>
          <w:noProof/>
        </w:rPr>
        <w:t>(Bender et al., 1994</w:t>
      </w:r>
      <w:r w:rsidR="006C1BCF">
        <w:fldChar w:fldCharType="end"/>
      </w:r>
      <w:r w:rsidR="006C1BCF">
        <w:t xml:space="preserve">; </w:t>
      </w:r>
      <w:r w:rsidR="00E47D0F">
        <w:fldChar w:fldCharType="begin"/>
      </w:r>
      <w:r w:rsidR="00B61709">
        <w:instrText xml:space="preserve"> ADDIN ZOTERO_ITEM CSL_CITATION {"citationID":"2gl66b96al","properties":{"formattedCitation":"(Hoffmann et al., 2004)","plainCitation":"(Hoffmann et al., 2004)"},"citationItems":[{"id":617,"uris":["http://zotero.org/users/local/ylr7WDKU/items/U2KW6GQ8"],"uri":["http://zotero.org/users/local/ylr7WDKU/items/U2KW6GQ8"],"itemData":{"id":617,"type":"article-journal","title":"A model of the Earth's Dole effect","container-title":"Global Biogeochemical Cycles","page":"GB1008","volume":"18","issue":"1","source":"Wiley Online Library","abstract":"The Earth's Dole effect describes the isotopic 18O/16O-enrichment of atmospheric oxygen with respect to ocean water, amounting under today's conditions to 23.5‰. We have developed a model of the Earth's Dole effect by combining the results of three-dimensional models of the oceanic and terrestrial carbon and oxygen cycles with results of atmospheric general circulation models (AGCMs) with built-in water isotope diagnostics. We obtain a range from 22.4‰ to 23.3‰ for the isotopic enrichment of atmospheric oxygen. We estimate a stronger contribution to the global Dole effect by the terrestrial relative to the marine biosphere in contrast to previous studies. This is primarily caused by a modeled high leaf water enrichment of 5–6‰. Leaf water enrichment rises by ∼1‰ to 6–7‰ when we use it to fit the observed 23.5‰ of the global Dole effect. The present model is designed to be utilized in forthcoming paleo studies allowing a quantitative analysis of long-term observations from polar ice cores.","DOI":"10.1029/2003GB002059","ISSN":"1944-9224","journalAbbreviation":"Global Biogeochem. Cycles","language":"en","author":[{"family":"Hoffmann","given":"Georg"},{"family":"Cuntz","given":"Matthias"},{"family":"Weber","given":"Christine"},{"family":"Ciais","given":"Philippe"},{"family":"Friedlingstein","given":"Pierre"},{"family":"Heimann","given":"Martin"},{"family":"Jouzel","given":"Jean"},{"family":"Kaduk","given":"Jörg"},{"family":"Maier-Reimer","given":"Ernst"},{"family":"Seibt","given":"Ulrike"},{"family":"Six","given":"Katharina"}],"issued":{"date-parts":[["2004",3,1]]},"accessed":{"date-parts":[["2014",7,15]]}}}],"schema":"https://github.com/citation-style-language/schema/raw/master/csl-citation.json"} </w:instrText>
      </w:r>
      <w:r w:rsidR="00E47D0F">
        <w:fldChar w:fldCharType="separate"/>
      </w:r>
      <w:r w:rsidR="00E47D0F">
        <w:rPr>
          <w:noProof/>
        </w:rPr>
        <w:t>Hoffmann et al., 2004)</w:t>
      </w:r>
      <w:r w:rsidR="00E47D0F">
        <w:fldChar w:fldCharType="end"/>
      </w:r>
      <w:r w:rsidR="00E47D0F">
        <w:t xml:space="preserve">.  </w:t>
      </w:r>
      <w:r w:rsidR="007B0324">
        <w:t>It is also worth noting that</w:t>
      </w:r>
      <w:r w:rsidR="00736443">
        <w:t xml:space="preserve"> </w:t>
      </w:r>
      <w:r w:rsidR="007B0324">
        <w:t>i</w:t>
      </w:r>
      <w:r w:rsidR="00890ACE">
        <w:t>n the EPICA Dome C ice core, CO2 concentrations remain above 260 ppmv through the entire observed decrease in met</w:t>
      </w:r>
      <w:r w:rsidR="007B0324">
        <w:t>hane from 130 ka to 113 ka (GT4</w:t>
      </w:r>
      <w:r w:rsidR="00890ACE">
        <w:t xml:space="preserve"> timescale</w:t>
      </w:r>
      <w:r w:rsidR="007B0324">
        <w:t>, or ~115 ka using the stalagmite timescale</w:t>
      </w:r>
      <w:r w:rsidR="00890ACE">
        <w:t xml:space="preserve">). </w:t>
      </w:r>
      <w:r w:rsidR="007B0324">
        <w:t>Thus</w:t>
      </w:r>
      <w:r w:rsidR="00890ACE">
        <w:t>, CO2 remains above 260 ppmv during the entire period of NH cooling and ice growth t</w:t>
      </w:r>
      <w:r w:rsidR="007B0324">
        <w:t xml:space="preserve">hrough the first minimum in </w:t>
      </w:r>
      <w:r w:rsidR="007B0324" w:rsidRPr="003E3B21">
        <w:rPr>
          <w:rFonts w:ascii="Symbol" w:hAnsi="Symbol"/>
        </w:rPr>
        <w:t></w:t>
      </w:r>
      <w:r w:rsidR="007B0324" w:rsidRPr="003E3B21">
        <w:rPr>
          <w:vertAlign w:val="superscript"/>
        </w:rPr>
        <w:t>18</w:t>
      </w:r>
      <w:r w:rsidR="007B0324">
        <w:t>O in stalagmites P10-H1 and D3 in Peru and C</w:t>
      </w:r>
      <w:r>
        <w:t>hina, respectively. These results</w:t>
      </w:r>
      <w:r w:rsidR="007B0324">
        <w:t xml:space="preserve"> are in accord with modeling studies that suggest that </w:t>
      </w:r>
      <w:r w:rsidR="007B0324">
        <w:lastRenderedPageBreak/>
        <w:t>orbital forcing alone is sufficient</w:t>
      </w:r>
      <w:r>
        <w:t xml:space="preserve"> to result in the growth of ice sheets in the </w:t>
      </w:r>
      <w:r w:rsidR="001206CF">
        <w:t>Northern hemisphere</w:t>
      </w:r>
      <w:r>
        <w:t>.</w:t>
      </w:r>
      <w:r w:rsidR="001206CF">
        <w:t xml:space="preserve"> </w:t>
      </w:r>
    </w:p>
    <w:p w14:paraId="7168BE82" w14:textId="77777777" w:rsidR="00E47D0F" w:rsidRDefault="00E47D0F" w:rsidP="00B90AF7">
      <w:pPr>
        <w:spacing w:line="480" w:lineRule="auto"/>
      </w:pPr>
    </w:p>
    <w:p w14:paraId="648D6690" w14:textId="2CDCCAC8" w:rsidR="00890ACE" w:rsidRDefault="001206CF" w:rsidP="00B90AF7">
      <w:pPr>
        <w:spacing w:line="480" w:lineRule="auto"/>
      </w:pPr>
      <w:r>
        <w:t>The timing of glacial inception recorded</w:t>
      </w:r>
      <w:r w:rsidR="00615AE7">
        <w:t xml:space="preserve"> in the spel</w:t>
      </w:r>
      <w:r w:rsidR="006004E7">
        <w:t>e</w:t>
      </w:r>
      <w:r w:rsidR="00615AE7">
        <w:t>othems in both hemi</w:t>
      </w:r>
      <w:r>
        <w:t>s</w:t>
      </w:r>
      <w:r w:rsidR="00615AE7">
        <w:t>p</w:t>
      </w:r>
      <w:r>
        <w:t>heres, however, is considerably earlier, and</w:t>
      </w:r>
      <w:r w:rsidR="008F7CCB">
        <w:t>,</w:t>
      </w:r>
      <w:r w:rsidR="00B766CC">
        <w:t xml:space="preserve"> </w:t>
      </w:r>
      <w:r>
        <w:t>therefore</w:t>
      </w:r>
      <w:r w:rsidR="008F7CCB">
        <w:t>,</w:t>
      </w:r>
      <w:r>
        <w:t xml:space="preserve"> under </w:t>
      </w:r>
      <w:r w:rsidR="00615AE7">
        <w:t>conditio</w:t>
      </w:r>
      <w:r>
        <w:t xml:space="preserve">ns </w:t>
      </w:r>
      <w:r w:rsidR="00615AE7">
        <w:t>of high</w:t>
      </w:r>
      <w:r w:rsidR="008F7CCB">
        <w:t>er</w:t>
      </w:r>
      <w:r w:rsidR="00615AE7">
        <w:t xml:space="preserve"> summer insola</w:t>
      </w:r>
      <w:r>
        <w:t xml:space="preserve">tion than is usually used in modeling studies. </w:t>
      </w:r>
      <w:r w:rsidR="008F7CCB">
        <w:t xml:space="preserve"> </w:t>
      </w:r>
      <w:r>
        <w:t xml:space="preserve">Modeling results indicate that tropical hydrology responds very rapidly to ice sheet expansion </w:t>
      </w:r>
      <w:r w:rsidR="00235E6C">
        <w:fldChar w:fldCharType="begin"/>
      </w:r>
      <w:r w:rsidR="00B61709">
        <w:instrText xml:space="preserve"> ADDIN ZOTERO_ITEM CSL_CITATION {"citationID":"dye15kgp","properties":{"formattedCitation":"(Broccoli et al., 2006)","plainCitation":"(Broccoli et al., 2006)"},"citationItems":[{"id":550,"uris":["http://zotero.org/users/local/ylr7WDKU/items/485NEA82"],"uri":["http://zotero.org/users/local/ylr7WDKU/items/485NEA82"],"itemData":{"id":550,"type":"article-journal","title":"Response of the ITCZ to Northern Hemisphere cooling","container-title":"Geophysical Research Letters","page":"L01702","volume":"33","issue":"1","source":"www.agu.org","abstract":"Climate simulations, using models with different levels of complexity, indicate that the north-south position of the intertropical convergence zone (ITCZ) responds to changes in interhemispheric temperature contrast. Paleoclimate data on a variety of timescales suggest a similar behavior, with southward displacements of the ITCZ and associated changes in tropical atmospheric circulation during cold periods in the Northern Hemisphere. To identify a mechanism by which ITCZ displacements can be forced from the extratropics, we use a climate model with idealized geography and a simple slab ocean. We cool the northern extratropics and warm the southern extratropics to represent the asymmetric temperature changes associated with glacial-interglacial and millennial-scale climate variability. A southward shift in the ITCZ occurs, along with changes in the trade winds and an asymmetric response of the Hadley circulation. Changes in atmospheric heat exchange between the tropics and midlatitudes are the likely cause of this response, suggesting that this mechanism may play an important role in ITCZ displacements on timescales from decadal to glacial-interglacial.","DOI":"10.1029/2005GL024546","ISSN":"0094-8276","journalAbbreviation":"Geophys. Res. Lett.","language":"English","author":[{"family":"Broccoli","given":"Anthony J."},{"family":"Dahl","given":"Kristina A."},{"family":"Stouffer","given":"Ronald J."}],"issued":{"date-parts":[["2006",1,10]]},"accessed":{"date-parts":[["2012",9,26]]}}}],"schema":"https://github.com/citation-style-language/schema/raw/master/csl-citation.json"} </w:instrText>
      </w:r>
      <w:r w:rsidR="00235E6C">
        <w:fldChar w:fldCharType="separate"/>
      </w:r>
      <w:r w:rsidR="00235E6C">
        <w:fldChar w:fldCharType="begin"/>
      </w:r>
      <w:r w:rsidR="00B61709">
        <w:instrText xml:space="preserve"> ADDIN ZOTERO_ITEM CSL_CITATION {"citationID":"7AFuSFko","properties":{"formattedCitation":"(Chiang and Bitz, 2005)","plainCitation":"(Chiang and Bitz, 2005)"},"citationItems":[{"id":438,"uris":["http://zotero.org/users/local/ylr7WDKU/items/MV8KKNGX"],"uri":["http://zotero.org/users/local/ylr7WDKU/items/MV8KKNGX"],"itemData":{"id":438,"type":"article-journal","title":"Influence of high latitude ice cover on the marine Intertropical Convergence Zone","container-title":"Climate Dynamics","page":"477–496","volume":"25","issue":"5","source":"Google Scholar","author":[{"family":"Chiang","given":"J. C. H."},{"family":"Bitz","given":"C. M."}],"issued":{"date-parts":[["2005"]]},"accessed":{"date-parts":[["2012",9,5]]}}}],"schema":"https://github.com/citation-style-language/schema/raw/master/csl-citation.json"} </w:instrText>
      </w:r>
      <w:r w:rsidR="00235E6C">
        <w:fldChar w:fldCharType="separate"/>
      </w:r>
      <w:r w:rsidR="00235E6C">
        <w:rPr>
          <w:noProof/>
        </w:rPr>
        <w:t>(Chiang and Bitz, 2005</w:t>
      </w:r>
      <w:r w:rsidR="00235E6C">
        <w:fldChar w:fldCharType="end"/>
      </w:r>
      <w:r w:rsidR="00235E6C">
        <w:t xml:space="preserve">; </w:t>
      </w:r>
      <w:r w:rsidR="00235E6C">
        <w:rPr>
          <w:noProof/>
        </w:rPr>
        <w:t>Broccoli et al., 2006)</w:t>
      </w:r>
      <w:r w:rsidR="00235E6C">
        <w:fldChar w:fldCharType="end"/>
      </w:r>
      <w:r w:rsidR="00B766CC">
        <w:t xml:space="preserve">. </w:t>
      </w:r>
      <w:r>
        <w:t xml:space="preserve"> Thus it is reasonable to infer from the speleothem </w:t>
      </w:r>
      <w:r w:rsidR="00186A4D" w:rsidRPr="003E3B21">
        <w:rPr>
          <w:rFonts w:ascii="Symbol" w:hAnsi="Symbol"/>
        </w:rPr>
        <w:t></w:t>
      </w:r>
      <w:r w:rsidR="00186A4D" w:rsidRPr="003E3B21">
        <w:rPr>
          <w:vertAlign w:val="superscript"/>
        </w:rPr>
        <w:t>18</w:t>
      </w:r>
      <w:r w:rsidR="00186A4D">
        <w:t>O</w:t>
      </w:r>
      <w:r>
        <w:t xml:space="preserve"> records that a rapid ice sheet growth began as early as 120 ka, at approximately the mid-point in the insolation curve for NH summer insolation. </w:t>
      </w:r>
    </w:p>
    <w:p w14:paraId="2CDB7EE5" w14:textId="77777777" w:rsidR="001206CF" w:rsidRDefault="001206CF" w:rsidP="00B90AF7">
      <w:pPr>
        <w:spacing w:line="480" w:lineRule="auto"/>
      </w:pPr>
    </w:p>
    <w:p w14:paraId="74500D81" w14:textId="4C30B0A2" w:rsidR="008B0AB7" w:rsidRPr="001B04E3" w:rsidRDefault="008B0AB7" w:rsidP="00B90AF7">
      <w:pPr>
        <w:spacing w:line="480" w:lineRule="auto"/>
        <w:rPr>
          <w:b/>
        </w:rPr>
      </w:pPr>
      <w:r w:rsidRPr="001B04E3">
        <w:rPr>
          <w:b/>
        </w:rPr>
        <w:t xml:space="preserve">4.3 Implications for </w:t>
      </w:r>
      <w:r w:rsidR="006004E7" w:rsidRPr="001B04E3">
        <w:rPr>
          <w:b/>
        </w:rPr>
        <w:t>sea-level</w:t>
      </w:r>
      <w:r w:rsidRPr="001B04E3">
        <w:rPr>
          <w:b/>
        </w:rPr>
        <w:t xml:space="preserve"> re</w:t>
      </w:r>
      <w:r>
        <w:rPr>
          <w:b/>
        </w:rPr>
        <w:t>con</w:t>
      </w:r>
      <w:r w:rsidR="001B04E3" w:rsidRPr="001B04E3">
        <w:rPr>
          <w:b/>
        </w:rPr>
        <w:t>s</w:t>
      </w:r>
      <w:r w:rsidRPr="001B04E3">
        <w:rPr>
          <w:b/>
        </w:rPr>
        <w:t>tructions</w:t>
      </w:r>
    </w:p>
    <w:p w14:paraId="7B9FE4E4" w14:textId="2D5C3087" w:rsidR="001206CF" w:rsidRDefault="008B0AB7" w:rsidP="00B90AF7">
      <w:pPr>
        <w:spacing w:line="480" w:lineRule="auto"/>
      </w:pPr>
      <w:r>
        <w:t xml:space="preserve"> </w:t>
      </w:r>
      <w:r w:rsidR="001206CF">
        <w:t>The speleot</w:t>
      </w:r>
      <w:r w:rsidR="007D1296">
        <w:t xml:space="preserve">hem </w:t>
      </w:r>
      <w:r w:rsidR="00186A4D" w:rsidRPr="003E3B21">
        <w:rPr>
          <w:rFonts w:ascii="Symbol" w:hAnsi="Symbol"/>
        </w:rPr>
        <w:t></w:t>
      </w:r>
      <w:r w:rsidR="00186A4D" w:rsidRPr="003E3B21">
        <w:rPr>
          <w:vertAlign w:val="superscript"/>
        </w:rPr>
        <w:t>18</w:t>
      </w:r>
      <w:r w:rsidR="00186A4D">
        <w:t>O</w:t>
      </w:r>
      <w:r w:rsidR="007D1296">
        <w:t xml:space="preserve"> data and the </w:t>
      </w:r>
      <w:r w:rsidR="001206CF">
        <w:t>accuracy of the dating of the curves, also</w:t>
      </w:r>
      <w:r w:rsidR="00A80F93">
        <w:t xml:space="preserve"> have</w:t>
      </w:r>
      <w:r w:rsidR="001206CF">
        <w:t xml:space="preserve"> implication</w:t>
      </w:r>
      <w:r w:rsidR="00A80F93">
        <w:t>s</w:t>
      </w:r>
      <w:r w:rsidR="001206CF">
        <w:t xml:space="preserve"> for the timing of </w:t>
      </w:r>
      <w:r w:rsidR="006004E7">
        <w:t>sea-level</w:t>
      </w:r>
      <w:r w:rsidR="001206CF">
        <w:t xml:space="preserve"> changes thought to have taken place during MIS 5.5 and at the 5.5 to 5.4 transition.</w:t>
      </w:r>
      <w:r w:rsidR="00782C3B">
        <w:t xml:space="preserve"> A number of studies have concluded than there was a rapid </w:t>
      </w:r>
      <w:r w:rsidR="006004E7">
        <w:t>sea-level</w:t>
      </w:r>
      <w:r w:rsidR="00782C3B">
        <w:t xml:space="preserve"> ris</w:t>
      </w:r>
      <w:r w:rsidR="00670080">
        <w:t xml:space="preserve">e near the end of MIS 5.5 </w:t>
      </w:r>
      <w:r w:rsidR="00670080">
        <w:fldChar w:fldCharType="begin"/>
      </w:r>
      <w:r w:rsidR="00B61709">
        <w:instrText xml:space="preserve"> ADDIN ZOTERO_ITEM CSL_CITATION {"citationID":"gkv7gioj6","properties":{"formattedCitation":"{\\rtf (O\\uc0\\u8217{}Leary et al., 2013)}","plainCitation":"(O’Leary et al., 2013)"},"citationItems":[{"id":167,"uris":["http://zotero.org/users/local/ylr7WDKU/items/5PWQ6MQ4"],"uri":["http://zotero.org/users/local/ylr7WDKU/items/5PWQ6MQ4"],"itemData":{"id":167,"type":"article-journal","title":"Ice sheet collapse following a prolonged period of stable sea level during the last interglacial","container-title":"Nature Geoscience","page":"796-800","volume":"6","issue":"9","source":"www.nature.com","abstract":"During the last interglacial period, 127–116 kyr ago, global mean sea level reached a peak of 5–9 m above present-day sea level. However, the exact timing and magnitude of ice sheet collapse that contributed to the sea-level highstand is unclear. Here we explore this timing using stratigraphic and geomorphic mapping and uranium-series geochronology of fossil coral reefs and geophysical modelling of sea-level records from Western Australia. We show that between 127 and 119 kyr ago, eustatic sea level remained relatively stable at about 3–4 m above present sea level. However, stratigraphically younger fossil corals with U-series ages of 118.1±1.4 kyr are observed at elevations of up to 9.5 m above present mean sea level. Accounting for glacial isostatic adjustment and localized tectonics, we conclude that eustatic sea level rose to about 9 m above present at the end of the last interglacial. We suggest that in the last few thousand years of the interglacial, a critical ice sheet stability threshold was crossed, resulting in the catastrophic collapse of polar ice sheets and substantial sea-level rise.","DOI":"10.1038/ngeo1890","ISSN":"1752-0894","journalAbbreviation":"Nature Geosci","language":"en","author":[{"family":"O’Leary","given":"Michael J."},{"family":"Hearty","given":"Paul J."},{"family":"Thompson","given":"William G."},{"family":"Raymo","given":"Maureen E."},{"family":"Mitrovica","given":"Jerry X."},{"family":"Webster","given":"Jody M."}],"issued":{"date-parts":[["2013",9]]},"accessed":{"date-parts":[["2014",7,7]]}}}],"schema":"https://github.com/citation-style-language/schema/raw/master/csl-citation.json"} </w:instrText>
      </w:r>
      <w:r w:rsidR="00670080">
        <w:fldChar w:fldCharType="separate"/>
      </w:r>
      <w:r w:rsidR="00670080" w:rsidRPr="00D34611">
        <w:rPr>
          <w:rFonts w:ascii="Cambria"/>
        </w:rPr>
        <w:t>(O’Leary et al., 2013</w:t>
      </w:r>
      <w:r w:rsidR="00670080">
        <w:fldChar w:fldCharType="end"/>
      </w:r>
      <w:r w:rsidR="00670080">
        <w:t xml:space="preserve">; </w:t>
      </w:r>
      <w:r w:rsidR="00670080">
        <w:fldChar w:fldCharType="begin"/>
      </w:r>
      <w:r w:rsidR="00B61709">
        <w:instrText xml:space="preserve"> ADDIN ZOTERO_ITEM CSL_CITATION {"citationID":"g3jstqgpg","properties":{"formattedCitation":"(Dutton and Lambeck, 2012)","plainCitation":"(Dutton and Lambeck, 2012)"},"citationItems":[{"id":3,"uris":["http://zotero.org/users/local/ylr7WDKU/items/XCUPF32P"],"uri":["http://zotero.org/users/local/ylr7WDKU/items/XCUPF32P"],"itemData":{"id":3,"type":"article-journal","title":"Ice Volume and Sea Level During the Last Interglacial","container-title":"Science","page":"216-219","volume":"337","issue":"6091","source":"www.sciencemag.org","abstract":"During the last interglacial period, ~125,000 years ago, sea level was at least several meters higher than at present, with substantial variability observed for peak sea level at geographically diverse sites. Speculation that the West Antarctic ice sheet collapsed during the last interglacial period has drawn particular interest to understanding climate and ice-sheet dynamics during this time interval. We provide an internally consistent database of coral U-Th ages to assess last interglacial sea-level observations in the context of isostatic modeling and stratigraphic evidence. These data indicate that global (eustatic) sea level peaked 5.5 to 9 meters above present sea level, requiring smaller ice sheets in both Greenland and Antarctica relative to today and indicating strong sea-level sensitivity to small changes in radiative forcing.","DOI":"10.1126/science.1205749","ISSN":"0036-8075, 1095-9203","note":"PMID: 22798610","journalAbbreviation":"Science","language":"en","author":[{"family":"Dutton","given":"A."},{"family":"Lambeck","given":"K."}],"issued":{"date-parts":[["2012",7,13]]},"accessed":{"date-parts":[["2014",7,7]]},"PMID":"22798610"}}],"schema":"https://github.com/citation-style-language/schema/raw/master/csl-citation.json"} </w:instrText>
      </w:r>
      <w:r w:rsidR="00670080">
        <w:fldChar w:fldCharType="separate"/>
      </w:r>
      <w:r w:rsidR="00670080">
        <w:rPr>
          <w:noProof/>
        </w:rPr>
        <w:t>Dutton and Lambeck, 2012</w:t>
      </w:r>
      <w:r w:rsidR="00670080">
        <w:fldChar w:fldCharType="end"/>
      </w:r>
      <w:r w:rsidR="00670080">
        <w:t xml:space="preserve">; </w:t>
      </w:r>
      <w:r w:rsidR="00670080">
        <w:fldChar w:fldCharType="begin"/>
      </w:r>
      <w:r w:rsidR="00B61709">
        <w:instrText xml:space="preserve"> ADDIN ZOTERO_ITEM CSL_CITATION {"citationID":"12jeres3sp","properties":{"formattedCitation":"(Thompson et al., 2011)","plainCitation":"(Thompson et al., 2011)"},"citationItems":[{"id":384,"uris":["http://zotero.org/users/local/ylr7WDKU/items/WUBW9FXW"],"uri":["http://zotero.org/users/local/ylr7WDKU/items/WUBW9FXW"],"itemData":{"id":384,"type":"article-journal","title":"Sea-level oscillations during the last interglacial highstand recorded by Bahamas corals","container-title":"Nature Geoscience","page":"684-687","volume":"4","issue":"10","source":"www.nature.com","abstract":"Rapid sea-level changes during the last interglacial highstand have been inferred from distinct stratigraphic units, which suggest multiple episodes of reef growth. However, it is difficult to resolve the age differences between fossil reef units, and results from conventional U–Th geochronology instead suggest a prolonged, stable sea-level highstand during the last interglacial. Here we present U–Th ages from last interglacial coral reef sequences in the Bahamas that reflect the timing of sea-level highstands. We use a method that corrects the ages for diagenetic disturbance of the U–Th isotope ratios. Our dated Bahamas stratigraphy confirms that at least one sea-level oscillation interrupted the last interglacial highstand. Further oscillations, as suggested by reconstructions from the Red Sea, would also be consistent with our data. We estimate that the minimum rate of sea-level change across the first oscillation was 2.6 m per 1,000 years, slightly lower than previous estimates. In contrast, during the past 6,000 years of the Holocene interglacial, sea level was relatively stable. We therefore suggest that ice sheets during the last interglacial, which was warmer than today and has been proposed as an analogue for future warming, were less stable than during the mid-to-late Holocene.","DOI":"10.1038/ngeo1253","ISSN":"1752-0894","journalAbbreviation":"Nature Geosci","language":"en","author":[{"family":"Thompson","given":"William G."},{"family":"Allen Curran","given":"H."},{"family":"Wilson","given":"Mark A."},{"family":"White","given":"Brian"}],"issued":{"date-parts":[["2011",10]]},"accessed":{"date-parts":[["2014",7,9]]}}}],"schema":"https://github.com/citation-style-language/schema/raw/master/csl-citation.json"} </w:instrText>
      </w:r>
      <w:r w:rsidR="00670080">
        <w:fldChar w:fldCharType="separate"/>
      </w:r>
      <w:r w:rsidR="00670080">
        <w:rPr>
          <w:noProof/>
        </w:rPr>
        <w:t>Thompson et al., 2011)</w:t>
      </w:r>
      <w:r w:rsidR="00670080">
        <w:fldChar w:fldCharType="end"/>
      </w:r>
      <w:r w:rsidR="00782C3B">
        <w:t xml:space="preserve">. This rise is thought to have been the result of a rapid melting event in the high Northern latitudes. If so, it is likely that this event would have impacted tropical hydrology, just as millennial scale events </w:t>
      </w:r>
      <w:r w:rsidR="00E47D0F">
        <w:t>did during glacial periods</w:t>
      </w:r>
      <w:r w:rsidR="00782C3B">
        <w:t xml:space="preserve">. We observe a nearly 1 per mille increase in speleothem </w:t>
      </w:r>
      <w:r w:rsidR="00186A4D" w:rsidRPr="003E3B21">
        <w:rPr>
          <w:rFonts w:ascii="Symbol" w:hAnsi="Symbol"/>
        </w:rPr>
        <w:t></w:t>
      </w:r>
      <w:r w:rsidR="00186A4D" w:rsidRPr="003E3B21">
        <w:rPr>
          <w:vertAlign w:val="superscript"/>
        </w:rPr>
        <w:t>18</w:t>
      </w:r>
      <w:r w:rsidR="00186A4D">
        <w:t xml:space="preserve">O </w:t>
      </w:r>
      <w:r w:rsidR="00782C3B">
        <w:t>in our Hu</w:t>
      </w:r>
      <w:r w:rsidR="00A80F93">
        <w:t>agapo Cave record at 123 ka, coincident with</w:t>
      </w:r>
      <w:r w:rsidR="00782C3B">
        <w:t xml:space="preserve"> an ~0.5 per</w:t>
      </w:r>
      <w:r w:rsidR="00615AE7">
        <w:t xml:space="preserve"> </w:t>
      </w:r>
      <w:r w:rsidR="00782C3B">
        <w:t xml:space="preserve">mille decrease in </w:t>
      </w:r>
      <w:r w:rsidR="00A80F93">
        <w:t xml:space="preserve">the Hulu cave record (Kelly et al., </w:t>
      </w:r>
      <w:r w:rsidR="00670080">
        <w:t>2006</w:t>
      </w:r>
      <w:r w:rsidR="00A80F93">
        <w:t>).  These data suggest a significan</w:t>
      </w:r>
      <w:r w:rsidR="008902CA">
        <w:t>t weakening in the SASM and strength</w:t>
      </w:r>
      <w:r w:rsidR="00A80F93">
        <w:t xml:space="preserve">ening of the EASM, </w:t>
      </w:r>
      <w:r w:rsidR="00D0796F">
        <w:t>as</w:t>
      </w:r>
      <w:r w:rsidR="00A80F93">
        <w:t xml:space="preserve"> models predict </w:t>
      </w:r>
      <w:r w:rsidR="00A80F93">
        <w:lastRenderedPageBreak/>
        <w:t>for a warming of the high N latitudes and decreas</w:t>
      </w:r>
      <w:r w:rsidR="008902CA">
        <w:t>e</w:t>
      </w:r>
      <w:r w:rsidR="00A80F93">
        <w:t xml:space="preserve"> in ice c</w:t>
      </w:r>
      <w:r w:rsidR="008902CA">
        <w:t>over there. We suggest that the</w:t>
      </w:r>
      <w:r w:rsidR="00A80F93">
        <w:t xml:space="preserve"> abrupt change in tropical hydrology is associated with the late MIS 5.5 </w:t>
      </w:r>
      <w:r w:rsidR="006004E7">
        <w:t>sea-level</w:t>
      </w:r>
      <w:r w:rsidR="00D0796F">
        <w:t xml:space="preserve"> change observed in </w:t>
      </w:r>
      <w:r w:rsidR="00A80F93">
        <w:t>other archives.</w:t>
      </w:r>
    </w:p>
    <w:p w14:paraId="556C1BE2" w14:textId="77777777" w:rsidR="008902CA" w:rsidRDefault="008902CA" w:rsidP="00B90AF7">
      <w:pPr>
        <w:spacing w:line="480" w:lineRule="auto"/>
      </w:pPr>
    </w:p>
    <w:p w14:paraId="6233D9CC" w14:textId="1D58E515" w:rsidR="00FE03A5" w:rsidRDefault="008902CA" w:rsidP="00B90AF7">
      <w:pPr>
        <w:spacing w:line="480" w:lineRule="auto"/>
      </w:pPr>
      <w:r>
        <w:t>A related question is t</w:t>
      </w:r>
      <w:r w:rsidR="00A60C17">
        <w:t xml:space="preserve">he timing of </w:t>
      </w:r>
      <w:r>
        <w:t xml:space="preserve">ice accumulation and </w:t>
      </w:r>
      <w:r w:rsidR="006004E7">
        <w:t>sea-level</w:t>
      </w:r>
      <w:r w:rsidR="00A60C17">
        <w:t xml:space="preserve"> fall at the end of MIS 5.5</w:t>
      </w:r>
      <w:r>
        <w:t>.  The speleothem records indicate that the end of MIS 5.5 in the tropics</w:t>
      </w:r>
      <w:r w:rsidR="00C13704">
        <w:t>, marked by a rapid</w:t>
      </w:r>
      <w:r w:rsidR="001A133C">
        <w:t xml:space="preserve"> </w:t>
      </w:r>
      <w:r w:rsidR="00C13704">
        <w:t>weakening of the EASM and strengthening of the SASM,</w:t>
      </w:r>
      <w:r>
        <w:t xml:space="preserve"> occurred at 120.8 </w:t>
      </w:r>
      <w:r w:rsidR="00C13704">
        <w:rPr>
          <w:rFonts w:ascii="Cambria" w:hAnsi="Cambria"/>
        </w:rPr>
        <w:t>±</w:t>
      </w:r>
      <w:r w:rsidR="00C13704">
        <w:t xml:space="preserve"> 0.4 </w:t>
      </w:r>
      <w:r>
        <w:t>ka</w:t>
      </w:r>
      <w:r w:rsidR="00C13704">
        <w:t xml:space="preserve"> (dating errors on P10-01 are less than 400 y, those for speleothems D3 and D4 from Hulu are ~1000y).   We infer that these changes in the monsoon are a direct response to high northern latitude cooling and increasing ice cover.  In contrast, coral records of the </w:t>
      </w:r>
      <w:r w:rsidR="001A133C">
        <w:t xml:space="preserve">timing of the end of MIS 5.5 indicate that </w:t>
      </w:r>
      <w:r w:rsidR="006004E7">
        <w:t>sea-level</w:t>
      </w:r>
      <w:r w:rsidR="001A133C">
        <w:t xml:space="preserve"> remained at or above present </w:t>
      </w:r>
      <w:r w:rsidR="006004E7">
        <w:t>sea-level</w:t>
      </w:r>
      <w:r w:rsidR="001A133C">
        <w:t xml:space="preserve"> until 115-117 ka </w:t>
      </w:r>
      <w:r w:rsidR="001B3E0B">
        <w:fldChar w:fldCharType="begin"/>
      </w:r>
      <w:r w:rsidR="00B61709">
        <w:instrText xml:space="preserve"> ADDIN ZOTERO_ITEM CSL_CITATION {"citationID":"BcXTT22l","properties":{"formattedCitation":"{\\rtf (O\\uc0\\u8217{}Leary et al., 2013)}","plainCitation":"(O’Leary et al., 2013)"},"citationItems":[{"id":167,"uris":["http://zotero.org/users/local/ylr7WDKU/items/5PWQ6MQ4"],"uri":["http://zotero.org/users/local/ylr7WDKU/items/5PWQ6MQ4"],"itemData":{"id":167,"type":"article-journal","title":"Ice sheet collapse following a prolonged period of stable sea level during the last interglacial","container-title":"Nature Geoscience","page":"796-800","volume":"6","issue":"9","source":"www.nature.com","abstract":"During the last interglacial period, 127–116 kyr ago, global mean sea level reached a peak of 5–9 m above present-day sea level. However, the exact timing and magnitude of ice sheet collapse that contributed to the sea-level highstand is unclear. Here we explore this timing using stratigraphic and geomorphic mapping and uranium-series geochronology of fossil coral reefs and geophysical modelling of sea-level records from Western Australia. We show that between 127 and 119 kyr ago, eustatic sea level remained relatively stable at about 3–4 m above present sea level. However, stratigraphically younger fossil corals with U-series ages of 118.1±1.4 kyr are observed at elevations of up to 9.5 m above present mean sea level. Accounting for glacial isostatic adjustment and localized tectonics, we conclude that eustatic sea level rose to about 9 m above present at the end of the last interglacial. We suggest that in the last few thousand years of the interglacial, a critical ice sheet stability threshold was crossed, resulting in the catastrophic collapse of polar ice sheets and substantial sea-level rise.","DOI":"10.1038/ngeo1890","ISSN":"1752-0894","journalAbbreviation":"Nature Geosci","language":"en","author":[{"family":"O’Leary","given":"Michael J."},{"family":"Hearty","given":"Paul J."},{"family":"Thompson","given":"William G."},{"family":"Raymo","given":"Maureen E."},{"family":"Mitrovica","given":"Jerry X."},{"family":"Webster","given":"Jody M."}],"issued":{"date-parts":[["2013",9]]},"accessed":{"date-parts":[["2014",7,7]]}}}],"schema":"https://github.com/citation-style-language/schema/raw/master/csl-citation.json"} </w:instrText>
      </w:r>
      <w:r w:rsidR="001B3E0B">
        <w:fldChar w:fldCharType="separate"/>
      </w:r>
      <w:r w:rsidR="00D34611" w:rsidRPr="00D34611">
        <w:rPr>
          <w:rFonts w:ascii="Cambria"/>
        </w:rPr>
        <w:t>(O’Leary et al., 2013</w:t>
      </w:r>
      <w:r w:rsidR="001B3E0B">
        <w:fldChar w:fldCharType="end"/>
      </w:r>
      <w:r w:rsidR="00670080">
        <w:t xml:space="preserve">; </w:t>
      </w:r>
      <w:r w:rsidR="00D34611">
        <w:fldChar w:fldCharType="begin"/>
      </w:r>
      <w:r w:rsidR="00B61709">
        <w:instrText xml:space="preserve"> ADDIN ZOTERO_ITEM CSL_CITATION {"citationID":"RXLbE0cP","properties":{"formattedCitation":"(Dutton and Lambeck, 2012)","plainCitation":"(Dutton and Lambeck, 2012)"},"citationItems":[{"id":3,"uris":["http://zotero.org/users/local/ylr7WDKU/items/XCUPF32P"],"uri":["http://zotero.org/users/local/ylr7WDKU/items/XCUPF32P"],"itemData":{"id":3,"type":"article-journal","title":"Ice Volume and Sea Level During the Last Interglacial","container-title":"Science","page":"216-219","volume":"337","issue":"6091","source":"www.sciencemag.org","abstract":"During the last interglacial period, ~125,000 years ago, sea level was at least several meters higher than at present, with substantial variability observed for peak sea level at geographically diverse sites. Speculation that the West Antarctic ice sheet collapsed during the last interglacial period has drawn particular interest to understanding climate and ice-sheet dynamics during this time interval. We provide an internally consistent database of coral U-Th ages to assess last interglacial sea-level observations in the context of isostatic modeling and stratigraphic evidence. These data indicate that global (eustatic) sea level peaked 5.5 to 9 meters above present sea level, requiring smaller ice sheets in both Greenland and Antarctica relative to today and indicating strong sea-level sensitivity to small changes in radiative forcing.","DOI":"10.1126/science.1205749","ISSN":"0036-8075, 1095-9203","note":"PMID: 22798610","journalAbbreviation":"Science","language":"en","author":[{"family":"Dutton","given":"A."},{"family":"Lambeck","given":"K."}],"issued":{"date-parts":[["2012",7,13]]},"accessed":{"date-parts":[["2014",7,7]]},"PMID":"22798610"}}],"schema":"https://github.com/citation-style-language/schema/raw/master/csl-citation.json"} </w:instrText>
      </w:r>
      <w:r w:rsidR="00D34611">
        <w:fldChar w:fldCharType="separate"/>
      </w:r>
      <w:r w:rsidR="00D34611">
        <w:rPr>
          <w:noProof/>
        </w:rPr>
        <w:t>Dutton and Lambeck, 2012</w:t>
      </w:r>
      <w:r w:rsidR="00D34611">
        <w:fldChar w:fldCharType="end"/>
      </w:r>
      <w:r w:rsidR="00670080">
        <w:t xml:space="preserve">; </w:t>
      </w:r>
      <w:r w:rsidR="00D34611">
        <w:fldChar w:fldCharType="begin"/>
      </w:r>
      <w:r w:rsidR="00B61709">
        <w:instrText xml:space="preserve"> ADDIN ZOTERO_ITEM CSL_CITATION {"citationID":"BEMTERHK","properties":{"formattedCitation":"(Thompson et al., 2011)","plainCitation":"(Thompson et al., 2011)"},"citationItems":[{"id":384,"uris":["http://zotero.org/users/local/ylr7WDKU/items/WUBW9FXW"],"uri":["http://zotero.org/users/local/ylr7WDKU/items/WUBW9FXW"],"itemData":{"id":384,"type":"article-journal","title":"Sea-level oscillations during the last interglacial highstand recorded by Bahamas corals","container-title":"Nature Geoscience","page":"684-687","volume":"4","issue":"10","source":"www.nature.com","abstract":"Rapid sea-level changes during the last interglacial highstand have been inferred from distinct stratigraphic units, which suggest multiple episodes of reef growth. However, it is difficult to resolve the age differences between fossil reef units, and results from conventional U–Th geochronology instead suggest a prolonged, stable sea-level highstand during the last interglacial. Here we present U–Th ages from last interglacial coral reef sequences in the Bahamas that reflect the timing of sea-level highstands. We use a method that corrects the ages for diagenetic disturbance of the U–Th isotope ratios. Our dated Bahamas stratigraphy confirms that at least one sea-level oscillation interrupted the last interglacial highstand. Further oscillations, as suggested by reconstructions from the Red Sea, would also be consistent with our data. We estimate that the minimum rate of sea-level change across the first oscillation was 2.6 m per 1,000 years, slightly lower than previous estimates. In contrast, during the past 6,000 years of the Holocene interglacial, sea level was relatively stable. We therefore suggest that ice sheets during the last interglacial, which was warmer than today and has been proposed as an analogue for future warming, were less stable than during the mid-to-late Holocene.","DOI":"10.1038/ngeo1253","ISSN":"1752-0894","journalAbbreviation":"Nature Geosci","language":"en","author":[{"family":"Thompson","given":"William G."},{"family":"Allen Curran","given":"H."},{"family":"Wilson","given":"Mark A."},{"family":"White","given":"Brian"}],"issued":{"date-parts":[["2011",10]]},"accessed":{"date-parts":[["2014",7,9]]}}}],"schema":"https://github.com/citation-style-language/schema/raw/master/csl-citation.json"} </w:instrText>
      </w:r>
      <w:r w:rsidR="00D34611">
        <w:fldChar w:fldCharType="separate"/>
      </w:r>
      <w:r w:rsidR="00D34611">
        <w:rPr>
          <w:noProof/>
        </w:rPr>
        <w:t>Thompson et al., 2011)</w:t>
      </w:r>
      <w:r w:rsidR="00D34611">
        <w:fldChar w:fldCharType="end"/>
      </w:r>
      <w:r w:rsidR="001A133C">
        <w:t xml:space="preserve">.   </w:t>
      </w:r>
      <w:r w:rsidR="00737B1B">
        <w:t xml:space="preserve">While it is not possible </w:t>
      </w:r>
      <w:r w:rsidR="00670080">
        <w:t xml:space="preserve">to make a </w:t>
      </w:r>
      <w:r w:rsidR="00737B1B">
        <w:t xml:space="preserve">direct </w:t>
      </w:r>
      <w:r w:rsidR="00C13704">
        <w:t xml:space="preserve">estimate of </w:t>
      </w:r>
      <w:r w:rsidR="006004E7">
        <w:t>sea-level</w:t>
      </w:r>
      <w:r w:rsidR="00C13704">
        <w:t xml:space="preserve"> fall</w:t>
      </w:r>
      <w:r w:rsidR="006A6812">
        <w:t xml:space="preserve"> from the speleothem records, it is unlikely that the very large changes in tropical hydrology observed could have taken place without at least several meters of </w:t>
      </w:r>
      <w:r w:rsidR="006004E7">
        <w:t>sea-level</w:t>
      </w:r>
      <w:r w:rsidR="006A6812">
        <w:t xml:space="preserve"> equivalent ice growth.  Thus, we suggest that the coral ages used to estimate the timing of </w:t>
      </w:r>
      <w:r w:rsidR="006004E7">
        <w:t>sea-level</w:t>
      </w:r>
      <w:r w:rsidR="006A6812">
        <w:t xml:space="preserve"> fall are several thousand years too young, and are more impacted by diagenesis and the uncertainty in seawater </w:t>
      </w:r>
      <w:r w:rsidR="006A6812" w:rsidRPr="005059A5">
        <w:rPr>
          <w:rFonts w:ascii="Symbol" w:hAnsi="Symbol"/>
        </w:rPr>
        <w:t></w:t>
      </w:r>
      <w:r w:rsidR="006A6812" w:rsidRPr="005059A5">
        <w:rPr>
          <w:vertAlign w:val="superscript"/>
        </w:rPr>
        <w:t>234</w:t>
      </w:r>
      <w:r w:rsidR="006A6812">
        <w:t>U than is commonly recognized.</w:t>
      </w:r>
    </w:p>
    <w:p w14:paraId="3A2CFD9D" w14:textId="77777777" w:rsidR="00FE03A5" w:rsidRDefault="00FE03A5" w:rsidP="00B90AF7">
      <w:pPr>
        <w:spacing w:line="480" w:lineRule="auto"/>
      </w:pPr>
    </w:p>
    <w:p w14:paraId="77F75E39" w14:textId="77777777" w:rsidR="008B0AB7" w:rsidRPr="00976E10" w:rsidRDefault="008B0AB7" w:rsidP="00B90AF7">
      <w:pPr>
        <w:spacing w:line="480" w:lineRule="auto"/>
        <w:rPr>
          <w:b/>
        </w:rPr>
      </w:pPr>
      <w:r w:rsidRPr="00976E10">
        <w:rPr>
          <w:b/>
        </w:rPr>
        <w:t>5. Conclusions</w:t>
      </w:r>
    </w:p>
    <w:p w14:paraId="5C3B4D5B" w14:textId="44BE64AA" w:rsidR="008A71FE" w:rsidRDefault="001B04E3" w:rsidP="00B90AF7">
      <w:pPr>
        <w:spacing w:line="480" w:lineRule="auto"/>
      </w:pPr>
      <w:r>
        <w:t>A spel</w:t>
      </w:r>
      <w:r w:rsidR="006004E7">
        <w:t>e</w:t>
      </w:r>
      <w:r>
        <w:t xml:space="preserve">othem recovered from Huagapo cave in the Peruvian Andes records variations in the intensity of South American Summer Monsoon rainfall in the </w:t>
      </w:r>
      <w:r>
        <w:lastRenderedPageBreak/>
        <w:t>Amazon Basin from 125-114 ka, covering the transition from the penultimate interglacial period to the following glacial period.  SASM rainfall was relatively low during the latter part of MIS 5.5, but increased rapidly at 120.8 ka as rapidly decreasing temperatures and increasing ice cover in the high northern latitudes, marking the beginning of the last glacial period, pushed the mean po</w:t>
      </w:r>
      <w:r w:rsidR="008F7CCB">
        <w:t>si</w:t>
      </w:r>
      <w:r>
        <w:t xml:space="preserve">tion of the ITCZ to the south.  By 116.8 ka the SASM intensity was as high as at any point during the entire last glacial period.  Both the timing and pattern of changes in the SASM are mirrored to a high degree of fidelity by anti-phase changes in the East Asian Summer Monsoon.  The timing of these changes in tropical hydrology thus </w:t>
      </w:r>
      <w:r w:rsidR="006004E7">
        <w:t>reveals</w:t>
      </w:r>
      <w:r>
        <w:t xml:space="preserve"> the nature of the interglacial to glacial transition</w:t>
      </w:r>
      <w:r w:rsidR="00976E10">
        <w:t xml:space="preserve"> at low latitudes.  A f</w:t>
      </w:r>
      <w:r>
        <w:t>ull tropical 'glacial' state was reached before any decrease in atmospheric CO</w:t>
      </w:r>
      <w:r w:rsidRPr="00976E10">
        <w:rPr>
          <w:vertAlign w:val="subscript"/>
        </w:rPr>
        <w:t>2</w:t>
      </w:r>
      <w:r>
        <w:t>, suggesting that insolation forcing alone</w:t>
      </w:r>
      <w:r w:rsidR="00976E10">
        <w:t xml:space="preserve"> is sufficient to terminate interglacial periods. </w:t>
      </w:r>
    </w:p>
    <w:p w14:paraId="4B701030" w14:textId="77777777" w:rsidR="005F7BD2" w:rsidRDefault="005F7BD2" w:rsidP="00B90AF7">
      <w:pPr>
        <w:spacing w:line="480" w:lineRule="auto"/>
      </w:pPr>
    </w:p>
    <w:p w14:paraId="7A163680" w14:textId="644989DD" w:rsidR="005F7BD2" w:rsidRPr="005F7BD2" w:rsidRDefault="005F7BD2" w:rsidP="005F7BD2">
      <w:pPr>
        <w:spacing w:line="480" w:lineRule="auto"/>
      </w:pPr>
      <w:r>
        <w:rPr>
          <w:i/>
        </w:rPr>
        <w:t xml:space="preserve">Acknowledgements.  </w:t>
      </w:r>
      <w:r w:rsidRPr="005F7BD2">
        <w:t>This work is supported by NSF grants ATM-1003466 to S.</w:t>
      </w:r>
      <w:r>
        <w:t xml:space="preserve"> </w:t>
      </w:r>
      <w:r w:rsidRPr="005F7BD2">
        <w:t>J.</w:t>
      </w:r>
      <w:r>
        <w:t xml:space="preserve"> Burns</w:t>
      </w:r>
      <w:r w:rsidRPr="005F7BD2">
        <w:t>, 0</w:t>
      </w:r>
      <w:r>
        <w:t>502535 and 1103403 to R. L. Edwards</w:t>
      </w:r>
      <w:r w:rsidRPr="005F7BD2">
        <w:t xml:space="preserve"> and H.</w:t>
      </w:r>
      <w:r>
        <w:t xml:space="preserve"> </w:t>
      </w:r>
      <w:r w:rsidRPr="005F7BD2">
        <w:t>C</w:t>
      </w:r>
      <w:r>
        <w:t>heng.  We thank Carlos</w:t>
      </w:r>
      <w:r w:rsidRPr="005F7BD2">
        <w:t xml:space="preserve"> Morales-Bermudez for his invaluable assistance in the field.</w:t>
      </w:r>
    </w:p>
    <w:p w14:paraId="1100D2E8" w14:textId="054AFB03" w:rsidR="005F7BD2" w:rsidRPr="005F7BD2" w:rsidRDefault="005F7BD2" w:rsidP="00B90AF7">
      <w:pPr>
        <w:spacing w:line="480" w:lineRule="auto"/>
      </w:pPr>
    </w:p>
    <w:p w14:paraId="1FA49DCC" w14:textId="77777777" w:rsidR="00890ACE" w:rsidRDefault="00890ACE" w:rsidP="00B90AF7">
      <w:pPr>
        <w:spacing w:line="480" w:lineRule="auto"/>
      </w:pPr>
    </w:p>
    <w:p w14:paraId="270D815A" w14:textId="77777777" w:rsidR="00773414" w:rsidRDefault="00773414" w:rsidP="00B90AF7">
      <w:pPr>
        <w:spacing w:line="480" w:lineRule="auto"/>
      </w:pPr>
    </w:p>
    <w:p w14:paraId="3EE75500" w14:textId="77777777" w:rsidR="007251A7" w:rsidRDefault="007251A7" w:rsidP="00B90AF7">
      <w:pPr>
        <w:spacing w:line="480" w:lineRule="auto"/>
      </w:pPr>
    </w:p>
    <w:p w14:paraId="1EABD2D9" w14:textId="77777777" w:rsidR="00B457F8" w:rsidRDefault="00B457F8" w:rsidP="00B90AF7">
      <w:pPr>
        <w:spacing w:line="480" w:lineRule="auto"/>
      </w:pPr>
    </w:p>
    <w:p w14:paraId="5A8EA136" w14:textId="77777777" w:rsidR="00D0521A" w:rsidRDefault="00D0521A" w:rsidP="00B90AF7">
      <w:pPr>
        <w:spacing w:line="480" w:lineRule="auto"/>
      </w:pPr>
    </w:p>
    <w:p w14:paraId="611BC677" w14:textId="2290ABEC" w:rsidR="007D1296" w:rsidRDefault="007D1296">
      <w:r>
        <w:br w:type="page"/>
      </w:r>
    </w:p>
    <w:p w14:paraId="23203BAD" w14:textId="269E2581" w:rsidR="003F03AE" w:rsidRDefault="007D1296" w:rsidP="002D3FA7">
      <w:pPr>
        <w:spacing w:line="480" w:lineRule="auto"/>
      </w:pPr>
      <w:r>
        <w:lastRenderedPageBreak/>
        <w:t>References</w:t>
      </w:r>
    </w:p>
    <w:p w14:paraId="20BEAD9C" w14:textId="2D0BBC2D" w:rsidR="0022418B" w:rsidRPr="0022418B" w:rsidRDefault="003F03AE" w:rsidP="0022418B">
      <w:pPr>
        <w:pStyle w:val="Bibliography"/>
        <w:rPr>
          <w:rFonts w:ascii="Cambria"/>
        </w:rPr>
      </w:pPr>
      <w:r>
        <w:fldChar w:fldCharType="begin"/>
      </w:r>
      <w:r w:rsidR="005221D8">
        <w:instrText xml:space="preserve"> ADDIN ZOTERO_BIBL {"custom":[]} CSL_BIBLIOGRAPHY </w:instrText>
      </w:r>
      <w:r>
        <w:fldChar w:fldCharType="separate"/>
      </w:r>
      <w:r w:rsidR="0022418B" w:rsidRPr="0022418B">
        <w:rPr>
          <w:rFonts w:ascii="Cambria"/>
        </w:rPr>
        <w:t>Andersen, K.K., Azuma, N., Barnola, J.M., Bigler, M., Biscaye, P., Caillon, N., Chappellaz, J., Clausen, H.B., Dahl-Jensen, D., Fischer, H., others, 2004. High-resolution record of Northern Hemisphere climate extending into the last interglacial period. Nature 431, 147–151.</w:t>
      </w:r>
    </w:p>
    <w:p w14:paraId="4E170C18" w14:textId="77777777" w:rsidR="0022418B" w:rsidRPr="0022418B" w:rsidRDefault="0022418B" w:rsidP="0022418B">
      <w:pPr>
        <w:pStyle w:val="Bibliography"/>
        <w:rPr>
          <w:rFonts w:ascii="Cambria"/>
        </w:rPr>
      </w:pPr>
      <w:r w:rsidRPr="0022418B">
        <w:rPr>
          <w:rFonts w:ascii="Cambria"/>
        </w:rPr>
        <w:t>Bar-Matthews, M., Ayalon, A., Gilmour, M., Matthews, A., Hawkesworth, C., 2003. Sea-land oxygen isotopic relationships from planktonic foraminifera and speleothems in the Eastern Mediterranean region and their implication for paleorainfall during interglacial intervals. GEOCHIMICA ET COSMOCHIMICA ACTA 67, 3181–3199. doi:10.1016/S0016-7037(02)01031-1</w:t>
      </w:r>
    </w:p>
    <w:p w14:paraId="6537C710" w14:textId="77777777" w:rsidR="0022418B" w:rsidRPr="0022418B" w:rsidRDefault="0022418B" w:rsidP="0022418B">
      <w:pPr>
        <w:pStyle w:val="Bibliography"/>
        <w:rPr>
          <w:rFonts w:ascii="Cambria"/>
        </w:rPr>
      </w:pPr>
      <w:r w:rsidRPr="0022418B">
        <w:rPr>
          <w:rFonts w:ascii="Cambria"/>
        </w:rPr>
        <w:t>Bender, M., Sowers, T., Labeyrie, L., 1994. The Dole Effect and its variations during the last 130,000 years as measured in the Vostok Ice Core. Global Biogeochem. Cycles 8, 363–376. doi:10.1029/94GB00724</w:t>
      </w:r>
    </w:p>
    <w:p w14:paraId="27DCA28E" w14:textId="77777777" w:rsidR="0022418B" w:rsidRPr="0022418B" w:rsidRDefault="0022418B" w:rsidP="0022418B">
      <w:pPr>
        <w:pStyle w:val="Bibliography"/>
        <w:rPr>
          <w:rFonts w:ascii="Cambria"/>
        </w:rPr>
      </w:pPr>
      <w:r w:rsidRPr="0022418B">
        <w:rPr>
          <w:rFonts w:ascii="Cambria"/>
        </w:rPr>
        <w:t>Berger, A., 1978. Long-Term Variations of Daily Insolation and Quaternary Climatic Changes. J. Atmos. Sci. 35, 2362–2367. doi:10.1175/1520-0469(1978)035&lt;2362:LTVODI&gt;2.0.CO;2</w:t>
      </w:r>
    </w:p>
    <w:p w14:paraId="5654F115" w14:textId="77777777" w:rsidR="0022418B" w:rsidRPr="0022418B" w:rsidRDefault="0022418B" w:rsidP="0022418B">
      <w:pPr>
        <w:pStyle w:val="Bibliography"/>
        <w:rPr>
          <w:rFonts w:ascii="Cambria"/>
        </w:rPr>
      </w:pPr>
      <w:r w:rsidRPr="0022418B">
        <w:rPr>
          <w:rFonts w:ascii="Cambria"/>
        </w:rPr>
        <w:t>Boch, R., Cheng, H., Spötl, C., Edwards, R.L., Wang, X., Häuselmann, P., 2011. NALPS: a precisely dated European climate record 120–60 ka. Clim. Past 7, 1247–1259. doi:10.5194/cp-7-1247-2011</w:t>
      </w:r>
    </w:p>
    <w:p w14:paraId="13B1A81F" w14:textId="77777777" w:rsidR="0022418B" w:rsidRPr="0022418B" w:rsidRDefault="0022418B" w:rsidP="0022418B">
      <w:pPr>
        <w:pStyle w:val="Bibliography"/>
        <w:rPr>
          <w:rFonts w:ascii="Cambria"/>
        </w:rPr>
      </w:pPr>
      <w:r w:rsidRPr="0022418B">
        <w:rPr>
          <w:rFonts w:ascii="Cambria"/>
        </w:rPr>
        <w:t>Broccoli, A.J., Dahl, K.A., Stouffer, R.J., 2006. Response of the ITCZ to Northern Hemisphere cooling. Geophys. Res. Lett. 33, L01702. doi:10.1029/2005GL024546</w:t>
      </w:r>
    </w:p>
    <w:p w14:paraId="218B598C" w14:textId="77777777" w:rsidR="0022418B" w:rsidRPr="0022418B" w:rsidRDefault="0022418B" w:rsidP="0022418B">
      <w:pPr>
        <w:pStyle w:val="Bibliography"/>
        <w:rPr>
          <w:rFonts w:ascii="Cambria"/>
        </w:rPr>
      </w:pPr>
      <w:r w:rsidRPr="0022418B">
        <w:rPr>
          <w:rFonts w:ascii="Cambria"/>
        </w:rPr>
        <w:t>Chappellaz, J., Stowasser, C., Blunier, T., Baslev-Clausen, D., Brook, E.J., Dallmayr, R., Faïn, X., Lee, J.E., Mitchell, L.E., Pascual, O., Romanini, D., Rosen, J., Schüpbach, S., 2013. High-resolution glacial and deglacial record of atmospheric methane by continuous-flow and laser spectrometer analysis along the NEEM ice core. Clim. Past 9, 2579–2593. doi:10.5194/cp-9-2579-2013</w:t>
      </w:r>
    </w:p>
    <w:p w14:paraId="79F710BE" w14:textId="1484D548" w:rsidR="0022418B" w:rsidRPr="0022418B" w:rsidRDefault="0022418B" w:rsidP="0022418B">
      <w:pPr>
        <w:pStyle w:val="Bibliography"/>
        <w:rPr>
          <w:rFonts w:ascii="Cambria"/>
        </w:rPr>
      </w:pPr>
      <w:r w:rsidRPr="0022418B">
        <w:rPr>
          <w:rFonts w:ascii="Cambria"/>
        </w:rPr>
        <w:t>Cheng, H., Edwards, R.L., Broecker, W.S., Denton, G.H., Kong, X., Wang, Y., Zhang, R., Wang, X., 2009a. Ice Age Terminations. SCIENCE 326, 248–252. doi:10.1126/science.1177840</w:t>
      </w:r>
    </w:p>
    <w:p w14:paraId="164A54C4" w14:textId="698A2953" w:rsidR="0022418B" w:rsidRPr="0022418B" w:rsidRDefault="0022418B" w:rsidP="0022418B">
      <w:pPr>
        <w:pStyle w:val="Bibliography"/>
        <w:rPr>
          <w:rFonts w:ascii="Cambria"/>
        </w:rPr>
      </w:pPr>
      <w:r w:rsidRPr="0022418B">
        <w:rPr>
          <w:rFonts w:ascii="Cambria"/>
        </w:rPr>
        <w:t>Cheng, H., Fleitmann, D., Edwards, R.L., Wang, X., Cruz, F.W., Auler, A.S., Mangini, A., Wang, Y., Kong, X., Burns, S.J., Matter, A., 2009b. Timing and structure of the 8.2 kyr B.P. event inferred from δ18O records of stalagmites from China, Oman, and Brazil. Geology 37, 1007–1010. doi:10.1130/G30126A.1</w:t>
      </w:r>
    </w:p>
    <w:p w14:paraId="3CA2B3E7" w14:textId="77777777" w:rsidR="0022418B" w:rsidRPr="0022418B" w:rsidRDefault="0022418B" w:rsidP="0022418B">
      <w:pPr>
        <w:pStyle w:val="Bibliography"/>
        <w:rPr>
          <w:rFonts w:ascii="Cambria"/>
        </w:rPr>
      </w:pPr>
      <w:r w:rsidRPr="0022418B">
        <w:rPr>
          <w:rFonts w:ascii="Cambria"/>
        </w:rPr>
        <w:t>Chiang, J.C.H., Bitz, C.M., 2005. Influence of high latitude ice cover on the marine Intertropical Convergence Zone. Climate Dynamics 25, 477–496.</w:t>
      </w:r>
    </w:p>
    <w:p w14:paraId="48DC7072" w14:textId="77777777" w:rsidR="0022418B" w:rsidRPr="0022418B" w:rsidRDefault="0022418B" w:rsidP="0022418B">
      <w:pPr>
        <w:pStyle w:val="Bibliography"/>
        <w:rPr>
          <w:rFonts w:ascii="Cambria"/>
        </w:rPr>
      </w:pPr>
      <w:r w:rsidRPr="0022418B">
        <w:rPr>
          <w:rFonts w:ascii="Cambria"/>
        </w:rPr>
        <w:t>Chiang, J.C.H., Friedman, A.R., 2012. Extratropical Cooling, Interhemispheric Thermal Gradients, and Tropical Climate Change. Annual Review of Earth and Planetary Sciences 40, 383–412. doi:10.1146/annurev-earth-042711-105545</w:t>
      </w:r>
    </w:p>
    <w:p w14:paraId="4BD2A2D9" w14:textId="77777777" w:rsidR="0022418B" w:rsidRPr="0022418B" w:rsidRDefault="0022418B" w:rsidP="0022418B">
      <w:pPr>
        <w:pStyle w:val="Bibliography"/>
        <w:rPr>
          <w:rFonts w:ascii="Cambria"/>
        </w:rPr>
      </w:pPr>
      <w:r w:rsidRPr="0022418B">
        <w:rPr>
          <w:rFonts w:ascii="Cambria"/>
        </w:rPr>
        <w:t>Cruz, F.W., Burns, S.J., Karmann, I., Sharp, W.D., Vuille, M., Cardoso, A.O., Ferrari, J.A., Dias, P.L.S., Viana, O., 2005a. Insolation-driven changes in atmospheric circulation over the past 116,000 years in subtropical Brazil. Nature 434, 63–66.</w:t>
      </w:r>
    </w:p>
    <w:p w14:paraId="6ABE4C13" w14:textId="77777777" w:rsidR="0022418B" w:rsidRPr="0022418B" w:rsidRDefault="0022418B" w:rsidP="0022418B">
      <w:pPr>
        <w:pStyle w:val="Bibliography"/>
        <w:rPr>
          <w:rFonts w:ascii="Cambria"/>
        </w:rPr>
      </w:pPr>
      <w:r w:rsidRPr="0022418B">
        <w:rPr>
          <w:rFonts w:ascii="Cambria"/>
        </w:rPr>
        <w:lastRenderedPageBreak/>
        <w:t>Cruz, F.W., Burns, S.J., Karmann, I., Sharp, W.D., Vuille, M., Cardoso, A.O., Ferrari, J.A., Dias, P.L.S., Viana, O., 2005b. Insolation-driven changes in atmospheric circulation over the past 116,000 years in subtropical Brazil. Nature 434, 63–66.</w:t>
      </w:r>
    </w:p>
    <w:p w14:paraId="21796EAA" w14:textId="77777777" w:rsidR="0022418B" w:rsidRPr="0022418B" w:rsidRDefault="0022418B" w:rsidP="0022418B">
      <w:pPr>
        <w:pStyle w:val="Bibliography"/>
        <w:rPr>
          <w:rFonts w:ascii="Cambria"/>
        </w:rPr>
      </w:pPr>
      <w:r w:rsidRPr="0022418B">
        <w:rPr>
          <w:rFonts w:ascii="Cambria"/>
        </w:rPr>
        <w:t>Daëron, M., Guo, W., Eiler, J., Genty, D., Blamart, D., Boch, R., Drysdale, R., Maire, R., Wainer, K., Zanchetta, G., 2011. 13C18O clumping in speleothems: Observations from natural caves and precipitation experiments. Geochimica et Cosmochimica Acta 75, 3303–3317. doi:10.1016/j.gca.2010.10.032</w:t>
      </w:r>
    </w:p>
    <w:p w14:paraId="4A97299A" w14:textId="77777777" w:rsidR="0022418B" w:rsidRPr="0022418B" w:rsidRDefault="0022418B" w:rsidP="0022418B">
      <w:pPr>
        <w:pStyle w:val="Bibliography"/>
        <w:rPr>
          <w:rFonts w:ascii="Cambria"/>
        </w:rPr>
      </w:pPr>
      <w:r w:rsidRPr="0022418B">
        <w:rPr>
          <w:rFonts w:ascii="Cambria"/>
        </w:rPr>
        <w:t>Denton, G.H., Anderson, R.F., Toggweiler, J.R., Edwards, R.L., Schaefer, J.M., Putnam, A.E., 2010. The Last Glacial Termination. Science 328, 1652–1656. doi:10.1126/science.1184119</w:t>
      </w:r>
    </w:p>
    <w:p w14:paraId="2423DB7A" w14:textId="77777777" w:rsidR="0022418B" w:rsidRPr="0022418B" w:rsidRDefault="0022418B" w:rsidP="0022418B">
      <w:pPr>
        <w:pStyle w:val="Bibliography"/>
        <w:rPr>
          <w:rFonts w:ascii="Cambria"/>
        </w:rPr>
      </w:pPr>
      <w:r w:rsidRPr="0022418B">
        <w:rPr>
          <w:rFonts w:ascii="Cambria"/>
        </w:rPr>
        <w:t>Donohoe, A., Marshall, J., Ferreira, D., Mcgee, D., 2012. The Relationship between ITCZ Location and Cross-Equatorial Atmospheric Heat Transport: From the Seasonal Cycle to the Last Glacial Maximum. J. Climate 26, 3597–3618. doi:10.1175/JCLI-D-12-00467.1</w:t>
      </w:r>
    </w:p>
    <w:p w14:paraId="0EA7ABB1" w14:textId="77777777" w:rsidR="0022418B" w:rsidRPr="0022418B" w:rsidRDefault="0022418B" w:rsidP="0022418B">
      <w:pPr>
        <w:pStyle w:val="Bibliography"/>
        <w:rPr>
          <w:rFonts w:ascii="Cambria"/>
        </w:rPr>
      </w:pPr>
      <w:r w:rsidRPr="0022418B">
        <w:rPr>
          <w:rFonts w:ascii="Cambria"/>
        </w:rPr>
        <w:t>Dreybrodt, W., 2008. Evolution of the isotopic composition of carbon and oxygen in a calcite precipitating H2O–CO2–CaCO3 solution and the related isotopic composition of calcite in stalagmites. Geochimica et Cosmochimica Acta 72, 4712–4724. doi:10.1016/j.gca.2008.07.022</w:t>
      </w:r>
    </w:p>
    <w:p w14:paraId="51726D02" w14:textId="77777777" w:rsidR="0022418B" w:rsidRPr="0022418B" w:rsidRDefault="0022418B" w:rsidP="0022418B">
      <w:pPr>
        <w:pStyle w:val="Bibliography"/>
        <w:rPr>
          <w:rFonts w:ascii="Cambria"/>
        </w:rPr>
      </w:pPr>
      <w:r w:rsidRPr="0022418B">
        <w:rPr>
          <w:rFonts w:ascii="Cambria"/>
        </w:rPr>
        <w:t>Dutton, A., Lambeck, K., 2012. Ice Volume and Sea Level During the Last Interglacial. Science 337, 216–219. doi:10.1126/science.1205749</w:t>
      </w:r>
    </w:p>
    <w:p w14:paraId="2DCCB90C" w14:textId="77777777" w:rsidR="0022418B" w:rsidRPr="0022418B" w:rsidRDefault="0022418B" w:rsidP="0022418B">
      <w:pPr>
        <w:pStyle w:val="Bibliography"/>
        <w:rPr>
          <w:rFonts w:ascii="Cambria"/>
        </w:rPr>
      </w:pPr>
      <w:r w:rsidRPr="0022418B">
        <w:rPr>
          <w:rFonts w:ascii="Cambria"/>
        </w:rPr>
        <w:t>Fairchild, I., Smith, C., Baker, A., Fuller, L., Spotl, C., Mattey, D., McDermott, F., EIMP, 2006. Modification and preservation of environmental signals in speleothems. EARTH-SCIENCE REVIEWS 75, 105–153. doi:10.1016/j.earscirev.2005.08.003</w:t>
      </w:r>
    </w:p>
    <w:p w14:paraId="21E3DA9A" w14:textId="77777777" w:rsidR="0022418B" w:rsidRPr="0022418B" w:rsidRDefault="0022418B" w:rsidP="0022418B">
      <w:pPr>
        <w:pStyle w:val="Bibliography"/>
        <w:rPr>
          <w:rFonts w:ascii="Cambria"/>
        </w:rPr>
      </w:pPr>
      <w:r w:rsidRPr="0022418B">
        <w:rPr>
          <w:rFonts w:ascii="Cambria"/>
        </w:rPr>
        <w:t>Fleitmann, D., Burns, S.J., Mudelsee, M., Neff, U., Kramers, J., Mangini, A., Matter, A., 2003. Holocene forcing of the Indian monsoon recorded in a stalagmite from   Southern Oman. Science 300, 1737–1739. doi:10.1126/science.1083130</w:t>
      </w:r>
    </w:p>
    <w:p w14:paraId="3D46063C" w14:textId="77777777" w:rsidR="0022418B" w:rsidRPr="0022418B" w:rsidRDefault="0022418B" w:rsidP="0022418B">
      <w:pPr>
        <w:pStyle w:val="Bibliography"/>
        <w:rPr>
          <w:rFonts w:ascii="Cambria"/>
        </w:rPr>
      </w:pPr>
      <w:r w:rsidRPr="0022418B">
        <w:rPr>
          <w:rFonts w:ascii="Cambria"/>
        </w:rPr>
        <w:t>Garreaud, R., Vuille, M., Clement, A.C., 2003. The climate of the Altiplano: observed current conditions and mechanisms of past changes. Palaeogeography, Palaeoclimatology, Palaeoecology 194, 5–22. doi:10.1016/S0031-0182(03)00269-4</w:t>
      </w:r>
    </w:p>
    <w:p w14:paraId="4269FFCB" w14:textId="77777777" w:rsidR="0022418B" w:rsidRPr="0022418B" w:rsidRDefault="0022418B" w:rsidP="0022418B">
      <w:pPr>
        <w:pStyle w:val="Bibliography"/>
        <w:rPr>
          <w:rFonts w:ascii="Cambria"/>
        </w:rPr>
      </w:pPr>
      <w:r w:rsidRPr="0022418B">
        <w:rPr>
          <w:rFonts w:ascii="Cambria"/>
        </w:rPr>
        <w:t>Hendy, C.., 1971. The isotopic geochemistry of speleothems—I. The calculation of the effects of different modes of formation on the isotopic composition of speleothems and their applicability as palaeoclimatic indicators. Geochimica et Cosmochimica Acta 35, 801–824. doi:10.1016/0016-7037(71)90127-X</w:t>
      </w:r>
    </w:p>
    <w:p w14:paraId="7786D9F9" w14:textId="77777777" w:rsidR="0022418B" w:rsidRPr="0022418B" w:rsidRDefault="0022418B" w:rsidP="0022418B">
      <w:pPr>
        <w:pStyle w:val="Bibliography"/>
        <w:rPr>
          <w:rFonts w:ascii="Cambria"/>
        </w:rPr>
      </w:pPr>
      <w:r w:rsidRPr="0022418B">
        <w:rPr>
          <w:rFonts w:ascii="Cambria"/>
        </w:rPr>
        <w:t>Hoffmann, G., Cuntz, M., Weber, C., Ciais, P., Friedlingstein, P., Heimann, M., Jouzel, J., Kaduk, J., Maier-Reimer, E., Seibt, U., Six, K., 2004. A model of the Earth’s Dole effect. Global Biogeochem. Cycles 18, GB1008. doi:10.1029/2003GB002059</w:t>
      </w:r>
    </w:p>
    <w:p w14:paraId="0B650D63" w14:textId="77777777" w:rsidR="0022418B" w:rsidRPr="0022418B" w:rsidRDefault="0022418B" w:rsidP="0022418B">
      <w:pPr>
        <w:pStyle w:val="Bibliography"/>
        <w:rPr>
          <w:rFonts w:ascii="Cambria"/>
        </w:rPr>
      </w:pPr>
      <w:r w:rsidRPr="0022418B">
        <w:rPr>
          <w:rFonts w:ascii="Cambria"/>
        </w:rPr>
        <w:t>Kanner, L.C., Burns, S.J., Cheng, H., Edwards, R.L., 2012. High-Latitude Forcing of the South American Summer Monsoon During the Last Glacial. Science 335, 570–573. doi:10.1126/science.1213397</w:t>
      </w:r>
    </w:p>
    <w:p w14:paraId="3EBF400B" w14:textId="77777777" w:rsidR="0022418B" w:rsidRPr="0022418B" w:rsidRDefault="0022418B" w:rsidP="0022418B">
      <w:pPr>
        <w:pStyle w:val="Bibliography"/>
        <w:rPr>
          <w:rFonts w:ascii="Cambria"/>
        </w:rPr>
      </w:pPr>
      <w:r w:rsidRPr="0022418B">
        <w:rPr>
          <w:rFonts w:ascii="Cambria"/>
        </w:rPr>
        <w:t xml:space="preserve">Kanner, L.C., Burns, S.J., Cheng, H., Edwards, R.L., Vuille, M., 2013. High-resolution variability of the South American summer monsoon over the last seven millennia: insights from a speleothem record from the central Peruvian </w:t>
      </w:r>
      <w:r w:rsidRPr="0022418B">
        <w:rPr>
          <w:rFonts w:ascii="Cambria"/>
        </w:rPr>
        <w:lastRenderedPageBreak/>
        <w:t>Andes. Quaternary Science Reviews 75, 1–10. doi:10.1016/j.quascirev.2013.05.008</w:t>
      </w:r>
    </w:p>
    <w:p w14:paraId="4A08BEDC" w14:textId="77777777" w:rsidR="0022418B" w:rsidRPr="0022418B" w:rsidRDefault="0022418B" w:rsidP="0022418B">
      <w:pPr>
        <w:pStyle w:val="Bibliography"/>
        <w:rPr>
          <w:rFonts w:ascii="Cambria"/>
        </w:rPr>
      </w:pPr>
      <w:r w:rsidRPr="0022418B">
        <w:rPr>
          <w:rFonts w:ascii="Cambria"/>
        </w:rPr>
        <w:t>Kelly, M.J., Edwards, R.L., Cheng, H., Yuan, D., Cai, Y., Zhang, M., Lin, Y., An, Z., 2006. High resolution characterization of the Asian Monsoon between 146,000 and 99,000 years BP from Dongge Cave, China and global correlation of events surrounding Termination II. Palaeogeography, Palaeoclimatology, Palaeoecology 236, 20–38.</w:t>
      </w:r>
    </w:p>
    <w:p w14:paraId="4C8EE818" w14:textId="77777777" w:rsidR="0022418B" w:rsidRPr="0022418B" w:rsidRDefault="0022418B" w:rsidP="0022418B">
      <w:pPr>
        <w:pStyle w:val="Bibliography"/>
        <w:rPr>
          <w:rFonts w:ascii="Cambria"/>
        </w:rPr>
      </w:pPr>
      <w:r w:rsidRPr="0022418B">
        <w:rPr>
          <w:rFonts w:ascii="Cambria"/>
        </w:rPr>
        <w:t>Kim, S.-T., O’Neil, J.R., 1997. Equilibrium and nonequilibrium oxygen isotope effects in synthetic carbonates. Geochimica et Cosmochimica Acta 61, 3461–3475. doi:10.1016/S0016-7037(97)00169-5</w:t>
      </w:r>
    </w:p>
    <w:p w14:paraId="216AC952" w14:textId="77777777" w:rsidR="0022418B" w:rsidRPr="0022418B" w:rsidRDefault="0022418B" w:rsidP="0022418B">
      <w:pPr>
        <w:pStyle w:val="Bibliography"/>
        <w:rPr>
          <w:rFonts w:ascii="Cambria"/>
        </w:rPr>
      </w:pPr>
      <w:r w:rsidRPr="0022418B">
        <w:rPr>
          <w:rFonts w:ascii="Cambria"/>
        </w:rPr>
        <w:t>Kutzbach, J.E., 1981. Monsoon climate of the early Holocene: climate experiment with the earth’s orbital parameters for 9000 years ago. Science 214, 59.</w:t>
      </w:r>
    </w:p>
    <w:p w14:paraId="18BA1826" w14:textId="77777777" w:rsidR="0022418B" w:rsidRPr="0022418B" w:rsidRDefault="0022418B" w:rsidP="0022418B">
      <w:pPr>
        <w:pStyle w:val="Bibliography"/>
        <w:rPr>
          <w:rFonts w:ascii="Cambria"/>
        </w:rPr>
      </w:pPr>
      <w:r w:rsidRPr="0022418B">
        <w:rPr>
          <w:rFonts w:ascii="Cambria"/>
        </w:rPr>
        <w:t>Kutzbach, J.E., Liu, X., Liu, Z., Chen, G., 2008. Simulation of the evolutionary response of global summer monsoons to   orbital forcing over the past 280,000 years. Clim. Dyn. 30, 567–579. doi:10.1007/s00382-007-0308-z</w:t>
      </w:r>
    </w:p>
    <w:p w14:paraId="363D169D" w14:textId="77777777" w:rsidR="0022418B" w:rsidRPr="0022418B" w:rsidRDefault="0022418B" w:rsidP="0022418B">
      <w:pPr>
        <w:pStyle w:val="Bibliography"/>
        <w:rPr>
          <w:rFonts w:ascii="Cambria"/>
        </w:rPr>
      </w:pPr>
      <w:r w:rsidRPr="0022418B">
        <w:rPr>
          <w:rFonts w:ascii="Cambria"/>
        </w:rPr>
        <w:t>Lachniet, M.S., 2009. Climatic and environmental controls on speleothem oxygen-isotope values. QUATERNARY SCIENCE REVIEWS 28, 412–432. doi:10.1016/j.quascirev.2008.10.021</w:t>
      </w:r>
    </w:p>
    <w:p w14:paraId="60995056" w14:textId="77777777" w:rsidR="0022418B" w:rsidRPr="0022418B" w:rsidRDefault="0022418B" w:rsidP="0022418B">
      <w:pPr>
        <w:pStyle w:val="Bibliography"/>
        <w:rPr>
          <w:rFonts w:ascii="Cambria"/>
        </w:rPr>
      </w:pPr>
      <w:r w:rsidRPr="0022418B">
        <w:rPr>
          <w:rFonts w:ascii="Cambria"/>
        </w:rPr>
        <w:t>Landais, A., Masson-Delmotte, V., Jouzel, J., Raynaud, D., Johnsen, S., Huber, C., Leuenberger, M., Schwander, J., Minster, B., 2006. The glacial inception as recorded in the NorthGRIP Greenland ice core: timing, structure and associated abrupt temperature changes. Climate dynamics 26, 273–284.</w:t>
      </w:r>
    </w:p>
    <w:p w14:paraId="74ABE222" w14:textId="77777777" w:rsidR="0022418B" w:rsidRPr="0022418B" w:rsidRDefault="0022418B" w:rsidP="0022418B">
      <w:pPr>
        <w:pStyle w:val="Bibliography"/>
        <w:rPr>
          <w:rFonts w:ascii="Cambria"/>
        </w:rPr>
      </w:pPr>
      <w:r w:rsidRPr="0022418B">
        <w:rPr>
          <w:rFonts w:ascii="Cambria"/>
        </w:rPr>
        <w:t>Meyer, M.C., Spötl, C., Mangini, A., 2008. The demise of the Last Interglacial recorded in isotopically dated speleothems from the Alps. Quaternary Science Reviews 27, 476–496.</w:t>
      </w:r>
    </w:p>
    <w:p w14:paraId="010F2BF7" w14:textId="77777777" w:rsidR="0022418B" w:rsidRPr="0022418B" w:rsidRDefault="0022418B" w:rsidP="0022418B">
      <w:pPr>
        <w:pStyle w:val="Bibliography"/>
        <w:rPr>
          <w:rFonts w:ascii="Cambria"/>
        </w:rPr>
      </w:pPr>
      <w:r w:rsidRPr="0022418B">
        <w:rPr>
          <w:rFonts w:ascii="Cambria"/>
        </w:rPr>
        <w:t>O’Leary, M.J., Hearty, P.J., Thompson, W.G., Raymo, M.E., Mitrovica, J.X., Webster, J.M., 2013. Ice sheet collapse following a prolonged period of stable sea level during the last interglacial. Nature Geosci 6, 796–800. doi:10.1038/ngeo1890</w:t>
      </w:r>
    </w:p>
    <w:p w14:paraId="3E164EB7" w14:textId="77777777" w:rsidR="0022418B" w:rsidRPr="0022418B" w:rsidRDefault="0022418B" w:rsidP="0022418B">
      <w:pPr>
        <w:pStyle w:val="Bibliography"/>
        <w:rPr>
          <w:rFonts w:ascii="Cambria"/>
        </w:rPr>
      </w:pPr>
      <w:r w:rsidRPr="0022418B">
        <w:rPr>
          <w:rFonts w:ascii="Cambria"/>
        </w:rPr>
        <w:t>Petit, J.R., Jouzel, J., Raynaud, D., Barkov, N.I., Barnola, J.-M., Basile, I., Bender, M., Chappellaz, J., Davis, M., Delaygue, G., Delmotte, M., Kotlyakov, V.M., Legrand, M., Lipenkov, V.Y., Lorius, C., PÉpin, L., Ritz, C., Saltzman, E., Stievenard, M., 1999. Climate and atmospheric history of the past 420,000 years from the Vostok ice core, Antarctica. Nature 399, 429–436. doi:10.1038/20859</w:t>
      </w:r>
    </w:p>
    <w:p w14:paraId="78D68DDB" w14:textId="77777777" w:rsidR="0022418B" w:rsidRPr="0022418B" w:rsidRDefault="0022418B" w:rsidP="0022418B">
      <w:pPr>
        <w:pStyle w:val="Bibliography"/>
        <w:rPr>
          <w:rFonts w:ascii="Cambria"/>
        </w:rPr>
      </w:pPr>
      <w:r w:rsidRPr="0022418B">
        <w:rPr>
          <w:rFonts w:ascii="Cambria"/>
        </w:rPr>
        <w:t>Porter, S.C., 2000. Snowline depression in the tropics during the Last Glaciation. Quaternary Science Reviews 20, 1067–1091. doi:10.1016/S0277-3791(00)00178-5</w:t>
      </w:r>
    </w:p>
    <w:p w14:paraId="5A0D0BE2" w14:textId="77777777" w:rsidR="0022418B" w:rsidRPr="0022418B" w:rsidRDefault="0022418B" w:rsidP="0022418B">
      <w:pPr>
        <w:pStyle w:val="Bibliography"/>
        <w:rPr>
          <w:rFonts w:ascii="Cambria"/>
        </w:rPr>
      </w:pPr>
      <w:r w:rsidRPr="0022418B">
        <w:rPr>
          <w:rFonts w:ascii="Cambria"/>
        </w:rPr>
        <w:t>Schneider, T., Bischoff, T., Haug, G.H., 2014. Migrations and dynamics of the intertropical convergence zone. Nature 513, 45–53. doi:10.1038/nature13636</w:t>
      </w:r>
    </w:p>
    <w:p w14:paraId="418DCAB9" w14:textId="77777777" w:rsidR="0022418B" w:rsidRPr="0022418B" w:rsidRDefault="0022418B" w:rsidP="0022418B">
      <w:pPr>
        <w:pStyle w:val="Bibliography"/>
        <w:rPr>
          <w:rFonts w:ascii="Cambria"/>
        </w:rPr>
      </w:pPr>
      <w:r w:rsidRPr="0022418B">
        <w:rPr>
          <w:rFonts w:ascii="Cambria"/>
        </w:rPr>
        <w:t>Seltzer, G., Rodbell, D., Burns, S., 2000. Isotopic evidence for late Quaternary climatic change in tropical South America. Geology 28, 35–38.</w:t>
      </w:r>
    </w:p>
    <w:p w14:paraId="77A6EB14" w14:textId="77777777" w:rsidR="0022418B" w:rsidRPr="0022418B" w:rsidRDefault="0022418B" w:rsidP="0022418B">
      <w:pPr>
        <w:pStyle w:val="Bibliography"/>
        <w:rPr>
          <w:rFonts w:ascii="Cambria"/>
        </w:rPr>
      </w:pPr>
      <w:r w:rsidRPr="0022418B">
        <w:rPr>
          <w:rFonts w:ascii="Cambria"/>
        </w:rPr>
        <w:t>Shakun, J.D., Clark, P.U., He, F., Marcott, S.A., Mix, A.C., Liu, Z., Otto-Bliesner, B., Schmittner, A., Bard, E., 2012. Global warming preceded by increasing carbon dioxide concentrations during the last deglaciation. Nature 484, 49–54. doi:10.1038/nature10915</w:t>
      </w:r>
    </w:p>
    <w:p w14:paraId="5995503B" w14:textId="77777777" w:rsidR="0022418B" w:rsidRPr="0022418B" w:rsidRDefault="0022418B" w:rsidP="0022418B">
      <w:pPr>
        <w:pStyle w:val="Bibliography"/>
        <w:rPr>
          <w:rFonts w:ascii="Cambria"/>
        </w:rPr>
      </w:pPr>
      <w:r w:rsidRPr="0022418B">
        <w:rPr>
          <w:rFonts w:ascii="Cambria"/>
        </w:rPr>
        <w:lastRenderedPageBreak/>
        <w:t>Spahni, R., Chappellaz, J., Stocker, T.F., Loulergue, L., Hausammann, G., Kawamura, K., Flückiger, J., Schwander, J., Raynaud, D., Masson-Delmotte, V., Jouzel, J., 2005. Atmospheric Methane and Nitrous Oxide of the Late Pleistocene from Antarctic Ice Cores. Science 310, 1317–1321. doi:10.1126/science.1120132</w:t>
      </w:r>
    </w:p>
    <w:p w14:paraId="5033CBE9" w14:textId="77777777" w:rsidR="0022418B" w:rsidRPr="0022418B" w:rsidRDefault="0022418B" w:rsidP="0022418B">
      <w:pPr>
        <w:pStyle w:val="Bibliography"/>
        <w:rPr>
          <w:rFonts w:ascii="Cambria"/>
        </w:rPr>
      </w:pPr>
      <w:r w:rsidRPr="0022418B">
        <w:rPr>
          <w:rFonts w:ascii="Cambria"/>
        </w:rPr>
        <w:t>Thompson, W.G., Allen Curran, H., Wilson, M.A., White, B., 2011. Sea-level oscillations during the last interglacial highstand recorded by Bahamas corals. Nature Geosci 4, 684–687. doi:10.1038/ngeo1253</w:t>
      </w:r>
    </w:p>
    <w:p w14:paraId="6E2299BC" w14:textId="77777777" w:rsidR="0022418B" w:rsidRPr="0022418B" w:rsidRDefault="0022418B" w:rsidP="0022418B">
      <w:pPr>
        <w:pStyle w:val="Bibliography"/>
        <w:rPr>
          <w:rFonts w:ascii="Cambria"/>
        </w:rPr>
      </w:pPr>
      <w:r w:rsidRPr="0022418B">
        <w:rPr>
          <w:rFonts w:ascii="Cambria"/>
        </w:rPr>
        <w:t>Vimeux, F., Gallaire, R., Bony, S., Hoffmann, G., Chiang, J.C.H., 2005. What are the climate controls on δD in precipitation in the Zongo Valley (Bolivia)? Implications for the Illimani ice core interpretation. Earth and Planetary Science Letters 240, 205–220. doi:10.1016/j.epsl.2005.09.031</w:t>
      </w:r>
    </w:p>
    <w:p w14:paraId="4070B74F" w14:textId="77777777" w:rsidR="0022418B" w:rsidRPr="0022418B" w:rsidRDefault="0022418B" w:rsidP="0022418B">
      <w:pPr>
        <w:pStyle w:val="Bibliography"/>
        <w:rPr>
          <w:rFonts w:ascii="Cambria"/>
        </w:rPr>
      </w:pPr>
      <w:r w:rsidRPr="0022418B">
        <w:rPr>
          <w:rFonts w:ascii="Cambria"/>
        </w:rPr>
        <w:t>Vuille, M., Werner, M., 2005. Stable isotopes in precipitation recording South American summer monsoon and ENSO variability: observations and model results. Climate Dynamics 25, 401–413. doi:10.1007/s00382-005-0049-9</w:t>
      </w:r>
    </w:p>
    <w:p w14:paraId="3F352ED6" w14:textId="77777777" w:rsidR="0022418B" w:rsidRPr="0022418B" w:rsidRDefault="0022418B" w:rsidP="0022418B">
      <w:pPr>
        <w:pStyle w:val="Bibliography"/>
        <w:rPr>
          <w:rFonts w:ascii="Cambria"/>
        </w:rPr>
      </w:pPr>
      <w:r w:rsidRPr="0022418B">
        <w:rPr>
          <w:rFonts w:ascii="Cambria"/>
        </w:rPr>
        <w:t>Wang, Y., Cheng, H., Edwards, R.L., He, Y., Kong, X., An, Z., Wu, J., Kelly, M.J., Dykoski, C.A., Li, X., 2005. The Holocene Asian monsoon: links to solar changes and North Atlantic climate. Science 308, 854–857.</w:t>
      </w:r>
    </w:p>
    <w:p w14:paraId="7652991C" w14:textId="77777777" w:rsidR="0022418B" w:rsidRPr="0022418B" w:rsidRDefault="0022418B" w:rsidP="0022418B">
      <w:pPr>
        <w:pStyle w:val="Bibliography"/>
        <w:rPr>
          <w:rFonts w:ascii="Cambria"/>
        </w:rPr>
      </w:pPr>
      <w:r w:rsidRPr="0022418B">
        <w:rPr>
          <w:rFonts w:ascii="Cambria"/>
        </w:rPr>
        <w:t>Wang, Y., Cheng, H., Edwards, R.L., Kong, X., Shao, X., Chen, S., Wu, J., Jiang, X., Wang, X., An, Z., 2008. Millennial-and orbital-scale changes in the East Asian monsoon over the past 224,000 years. Nature 451, 1090–1093.</w:t>
      </w:r>
    </w:p>
    <w:p w14:paraId="59C8D16A" w14:textId="77777777" w:rsidR="0022418B" w:rsidRPr="0022418B" w:rsidRDefault="0022418B" w:rsidP="0022418B">
      <w:pPr>
        <w:pStyle w:val="Bibliography"/>
        <w:rPr>
          <w:rFonts w:ascii="Cambria"/>
        </w:rPr>
      </w:pPr>
      <w:r w:rsidRPr="0022418B">
        <w:rPr>
          <w:rFonts w:ascii="Cambria"/>
        </w:rPr>
        <w:t>Wang, Y.J., Cheng, H., Edwards, R.L., An, Z.S., Wu, J.Y., Shen, C.C., Dorale, J.A., 2001. A high-resolution absolute-dated late Pleistocene monsoon record from Hulu Cave, China. Science 294, 2345–2348.</w:t>
      </w:r>
    </w:p>
    <w:p w14:paraId="66FBB028" w14:textId="77777777" w:rsidR="00FB16CB" w:rsidRPr="00FB16CB" w:rsidRDefault="00FB16CB" w:rsidP="00FB16CB">
      <w:pPr>
        <w:pStyle w:val="Bibliography"/>
        <w:rPr>
          <w:rFonts w:ascii="Cambria"/>
        </w:rPr>
      </w:pPr>
      <w:r w:rsidRPr="00FB16CB">
        <w:rPr>
          <w:rFonts w:ascii="Cambria"/>
        </w:rPr>
        <w:t>Yuan, D., Cheng, H., Edwards, R., Dykoski, C., Kelly, M., Zhang, M., Qing, J., Lin, Y., Wang, Y., Wu, J., Dorale, J., An, Z., Cai, Y., 2004. Timing, duration, and transitions of the Last Interglacial Asian Monsoon. SCIENCE 304, 575–578.</w:t>
      </w:r>
    </w:p>
    <w:p w14:paraId="0816AE4C" w14:textId="77777777" w:rsidR="0022418B" w:rsidRPr="0022418B" w:rsidRDefault="0022418B" w:rsidP="0022418B">
      <w:pPr>
        <w:pStyle w:val="Bibliography"/>
        <w:rPr>
          <w:rFonts w:ascii="Cambria"/>
        </w:rPr>
      </w:pPr>
      <w:r w:rsidRPr="0022418B">
        <w:rPr>
          <w:rFonts w:ascii="Cambria"/>
        </w:rPr>
        <w:t>Ziegler, M., Lourens, L.J., Tuenter, E., Hilgen, F., Reichart, G.-J., Weber, N., 2010. Precession phasing offset between Indian summer monsoon and Arabian Sea productivity linked to changes in Atlantic overturning circulation. PALEOCEANOGRAPHY 25. doi:10.1029/2009PA001884</w:t>
      </w:r>
    </w:p>
    <w:p w14:paraId="0199AA30" w14:textId="7B5AB507" w:rsidR="007D1296" w:rsidRDefault="003F03AE" w:rsidP="002D3FA7">
      <w:pPr>
        <w:spacing w:line="480" w:lineRule="auto"/>
      </w:pPr>
      <w:r>
        <w:fldChar w:fldCharType="end"/>
      </w:r>
    </w:p>
    <w:p w14:paraId="01C7F371" w14:textId="77777777" w:rsidR="00AE1E6F" w:rsidRDefault="00AE1E6F">
      <w:r>
        <w:br w:type="page"/>
      </w:r>
    </w:p>
    <w:p w14:paraId="387A873E" w14:textId="77777777" w:rsidR="00AE1E6F" w:rsidRDefault="00AE1E6F">
      <w:pPr>
        <w:sectPr w:rsidR="00AE1E6F" w:rsidSect="00142BFC">
          <w:footerReference w:type="default" r:id="rId9"/>
          <w:pgSz w:w="12240" w:h="15840"/>
          <w:pgMar w:top="1440" w:right="1800" w:bottom="1440" w:left="1800" w:header="720" w:footer="720" w:gutter="0"/>
          <w:lnNumType w:countBy="1" w:restart="continuous"/>
          <w:cols w:space="720"/>
          <w:docGrid w:linePitch="360"/>
        </w:sectPr>
      </w:pPr>
    </w:p>
    <w:tbl>
      <w:tblPr>
        <w:tblW w:w="14560" w:type="dxa"/>
        <w:tblInd w:w="93" w:type="dxa"/>
        <w:tblLook w:val="04A0" w:firstRow="1" w:lastRow="0" w:firstColumn="1" w:lastColumn="0" w:noHBand="0" w:noVBand="1"/>
      </w:tblPr>
      <w:tblGrid>
        <w:gridCol w:w="1200"/>
        <w:gridCol w:w="666"/>
        <w:gridCol w:w="576"/>
        <w:gridCol w:w="660"/>
        <w:gridCol w:w="626"/>
        <w:gridCol w:w="866"/>
        <w:gridCol w:w="900"/>
        <w:gridCol w:w="816"/>
        <w:gridCol w:w="576"/>
        <w:gridCol w:w="860"/>
        <w:gridCol w:w="860"/>
        <w:gridCol w:w="866"/>
        <w:gridCol w:w="700"/>
        <w:gridCol w:w="816"/>
        <w:gridCol w:w="660"/>
        <w:gridCol w:w="766"/>
        <w:gridCol w:w="620"/>
        <w:gridCol w:w="816"/>
        <w:gridCol w:w="1340"/>
      </w:tblGrid>
      <w:tr w:rsidR="00BD5A3F" w:rsidRPr="00BD5A3F" w14:paraId="64676CCB" w14:textId="77777777" w:rsidTr="00BD5A3F">
        <w:trPr>
          <w:trHeight w:val="400"/>
        </w:trPr>
        <w:tc>
          <w:tcPr>
            <w:tcW w:w="1200" w:type="dxa"/>
            <w:tcBorders>
              <w:top w:val="nil"/>
              <w:left w:val="nil"/>
              <w:bottom w:val="nil"/>
              <w:right w:val="nil"/>
            </w:tcBorders>
            <w:shd w:val="clear" w:color="auto" w:fill="auto"/>
            <w:noWrap/>
            <w:vAlign w:val="bottom"/>
            <w:hideMark/>
          </w:tcPr>
          <w:p w14:paraId="1AAC0875" w14:textId="77777777" w:rsidR="00BD5A3F" w:rsidRPr="00BD5A3F" w:rsidRDefault="00BD5A3F" w:rsidP="00BD5A3F">
            <w:pPr>
              <w:rPr>
                <w:rFonts w:ascii="Lucida Bright" w:eastAsia="Times New Roman" w:hAnsi="Lucida Bright" w:cs="Times New Roman"/>
                <w:sz w:val="20"/>
                <w:szCs w:val="20"/>
              </w:rPr>
            </w:pPr>
          </w:p>
        </w:tc>
        <w:tc>
          <w:tcPr>
            <w:tcW w:w="620" w:type="dxa"/>
            <w:tcBorders>
              <w:top w:val="nil"/>
              <w:left w:val="nil"/>
              <w:bottom w:val="nil"/>
              <w:right w:val="nil"/>
            </w:tcBorders>
            <w:shd w:val="clear" w:color="auto" w:fill="auto"/>
            <w:noWrap/>
            <w:vAlign w:val="bottom"/>
            <w:hideMark/>
          </w:tcPr>
          <w:p w14:paraId="54CD35E3" w14:textId="77777777" w:rsidR="00BD5A3F" w:rsidRPr="00BD5A3F" w:rsidRDefault="00BD5A3F" w:rsidP="00BD5A3F">
            <w:pPr>
              <w:rPr>
                <w:rFonts w:ascii="Lucida Bright" w:eastAsia="Times New Roman" w:hAnsi="Lucida Bright" w:cs="Times New Roman"/>
                <w:sz w:val="20"/>
                <w:szCs w:val="20"/>
              </w:rPr>
            </w:pPr>
          </w:p>
        </w:tc>
        <w:tc>
          <w:tcPr>
            <w:tcW w:w="480" w:type="dxa"/>
            <w:tcBorders>
              <w:top w:val="nil"/>
              <w:left w:val="nil"/>
              <w:bottom w:val="nil"/>
              <w:right w:val="nil"/>
            </w:tcBorders>
            <w:shd w:val="clear" w:color="auto" w:fill="auto"/>
            <w:noWrap/>
            <w:vAlign w:val="bottom"/>
            <w:hideMark/>
          </w:tcPr>
          <w:p w14:paraId="5F9926F2" w14:textId="77777777" w:rsidR="00BD5A3F" w:rsidRPr="00BD5A3F" w:rsidRDefault="00BD5A3F" w:rsidP="00BD5A3F">
            <w:pPr>
              <w:rPr>
                <w:rFonts w:ascii="Lucida Bright" w:eastAsia="Times New Roman" w:hAnsi="Lucida Bright" w:cs="Times New Roman"/>
                <w:sz w:val="20"/>
                <w:szCs w:val="20"/>
              </w:rPr>
            </w:pPr>
          </w:p>
        </w:tc>
        <w:tc>
          <w:tcPr>
            <w:tcW w:w="660" w:type="dxa"/>
            <w:tcBorders>
              <w:top w:val="nil"/>
              <w:left w:val="nil"/>
              <w:bottom w:val="nil"/>
              <w:right w:val="nil"/>
            </w:tcBorders>
            <w:shd w:val="clear" w:color="auto" w:fill="auto"/>
            <w:noWrap/>
            <w:vAlign w:val="bottom"/>
            <w:hideMark/>
          </w:tcPr>
          <w:p w14:paraId="1177F7D2" w14:textId="77777777" w:rsidR="00BD5A3F" w:rsidRPr="00BD5A3F" w:rsidRDefault="00BD5A3F" w:rsidP="00BD5A3F">
            <w:pPr>
              <w:rPr>
                <w:rFonts w:ascii="Lucida Bright" w:eastAsia="Times New Roman" w:hAnsi="Lucida Bright" w:cs="Times New Roman"/>
                <w:sz w:val="20"/>
                <w:szCs w:val="20"/>
              </w:rPr>
            </w:pPr>
          </w:p>
        </w:tc>
        <w:tc>
          <w:tcPr>
            <w:tcW w:w="620" w:type="dxa"/>
            <w:tcBorders>
              <w:top w:val="nil"/>
              <w:left w:val="nil"/>
              <w:bottom w:val="nil"/>
              <w:right w:val="nil"/>
            </w:tcBorders>
            <w:shd w:val="clear" w:color="auto" w:fill="auto"/>
            <w:noWrap/>
            <w:vAlign w:val="bottom"/>
            <w:hideMark/>
          </w:tcPr>
          <w:p w14:paraId="426AE7F7" w14:textId="77777777" w:rsidR="00BD5A3F" w:rsidRPr="00BD5A3F" w:rsidRDefault="00BD5A3F" w:rsidP="00BD5A3F">
            <w:pPr>
              <w:rPr>
                <w:rFonts w:ascii="Lucida Bright" w:eastAsia="Times New Roman" w:hAnsi="Lucida Bright" w:cs="Times New Roman"/>
                <w:sz w:val="20"/>
                <w:szCs w:val="20"/>
              </w:rPr>
            </w:pPr>
          </w:p>
        </w:tc>
        <w:tc>
          <w:tcPr>
            <w:tcW w:w="760" w:type="dxa"/>
            <w:tcBorders>
              <w:top w:val="nil"/>
              <w:left w:val="nil"/>
              <w:bottom w:val="nil"/>
              <w:right w:val="nil"/>
            </w:tcBorders>
            <w:shd w:val="clear" w:color="auto" w:fill="auto"/>
            <w:noWrap/>
            <w:vAlign w:val="bottom"/>
            <w:hideMark/>
          </w:tcPr>
          <w:p w14:paraId="1A51BCCF" w14:textId="77777777" w:rsidR="00BD5A3F" w:rsidRPr="00BD5A3F" w:rsidRDefault="00BD5A3F" w:rsidP="00BD5A3F">
            <w:pPr>
              <w:rPr>
                <w:rFonts w:ascii="Lucida Bright" w:eastAsia="Times New Roman" w:hAnsi="Lucida Bright" w:cs="Times New Roman"/>
                <w:sz w:val="20"/>
                <w:szCs w:val="20"/>
              </w:rPr>
            </w:pPr>
          </w:p>
        </w:tc>
        <w:tc>
          <w:tcPr>
            <w:tcW w:w="900" w:type="dxa"/>
            <w:tcBorders>
              <w:top w:val="nil"/>
              <w:left w:val="nil"/>
              <w:bottom w:val="nil"/>
              <w:right w:val="nil"/>
            </w:tcBorders>
            <w:shd w:val="clear" w:color="auto" w:fill="auto"/>
            <w:noWrap/>
            <w:vAlign w:val="bottom"/>
            <w:hideMark/>
          </w:tcPr>
          <w:p w14:paraId="4CC50F04" w14:textId="77777777" w:rsidR="00BD5A3F" w:rsidRPr="00BD5A3F" w:rsidRDefault="00BD5A3F" w:rsidP="00BD5A3F">
            <w:pPr>
              <w:rPr>
                <w:rFonts w:ascii="Lucida Bright" w:eastAsia="Times New Roman" w:hAnsi="Lucida Bright" w:cs="Times New Roman"/>
                <w:sz w:val="20"/>
                <w:szCs w:val="20"/>
              </w:rPr>
            </w:pPr>
          </w:p>
        </w:tc>
        <w:tc>
          <w:tcPr>
            <w:tcW w:w="720" w:type="dxa"/>
            <w:tcBorders>
              <w:top w:val="nil"/>
              <w:left w:val="nil"/>
              <w:bottom w:val="nil"/>
              <w:right w:val="nil"/>
            </w:tcBorders>
            <w:shd w:val="clear" w:color="auto" w:fill="auto"/>
            <w:noWrap/>
            <w:vAlign w:val="bottom"/>
            <w:hideMark/>
          </w:tcPr>
          <w:p w14:paraId="3EDDE0AC" w14:textId="77777777" w:rsidR="00BD5A3F" w:rsidRPr="00BD5A3F" w:rsidRDefault="00BD5A3F" w:rsidP="00BD5A3F">
            <w:pPr>
              <w:rPr>
                <w:rFonts w:ascii="Lucida Bright" w:eastAsia="Times New Roman" w:hAnsi="Lucida Bright" w:cs="Times New Roman"/>
                <w:sz w:val="20"/>
                <w:szCs w:val="20"/>
              </w:rPr>
            </w:pPr>
          </w:p>
        </w:tc>
        <w:tc>
          <w:tcPr>
            <w:tcW w:w="560" w:type="dxa"/>
            <w:tcBorders>
              <w:top w:val="nil"/>
              <w:left w:val="nil"/>
              <w:bottom w:val="nil"/>
              <w:right w:val="nil"/>
            </w:tcBorders>
            <w:shd w:val="clear" w:color="auto" w:fill="auto"/>
            <w:noWrap/>
            <w:vAlign w:val="bottom"/>
            <w:hideMark/>
          </w:tcPr>
          <w:p w14:paraId="6101069E" w14:textId="77777777" w:rsidR="00BD5A3F" w:rsidRPr="00BD5A3F" w:rsidRDefault="00BD5A3F" w:rsidP="00BD5A3F">
            <w:pPr>
              <w:rPr>
                <w:rFonts w:ascii="Lucida Bright" w:eastAsia="Times New Roman" w:hAnsi="Lucida Bright" w:cs="Times New Roman"/>
                <w:sz w:val="20"/>
                <w:szCs w:val="20"/>
              </w:rPr>
            </w:pPr>
          </w:p>
        </w:tc>
        <w:tc>
          <w:tcPr>
            <w:tcW w:w="860" w:type="dxa"/>
            <w:tcBorders>
              <w:top w:val="nil"/>
              <w:left w:val="nil"/>
              <w:bottom w:val="nil"/>
              <w:right w:val="nil"/>
            </w:tcBorders>
            <w:shd w:val="clear" w:color="auto" w:fill="auto"/>
            <w:noWrap/>
            <w:vAlign w:val="bottom"/>
            <w:hideMark/>
          </w:tcPr>
          <w:p w14:paraId="7F67B6F5" w14:textId="77777777" w:rsidR="00BD5A3F" w:rsidRPr="00BD5A3F" w:rsidRDefault="00BD5A3F" w:rsidP="00BD5A3F">
            <w:pPr>
              <w:rPr>
                <w:rFonts w:ascii="Lucida Bright" w:eastAsia="Times New Roman" w:hAnsi="Lucida Bright" w:cs="Times New Roman"/>
                <w:sz w:val="20"/>
                <w:szCs w:val="20"/>
              </w:rPr>
            </w:pPr>
          </w:p>
        </w:tc>
        <w:tc>
          <w:tcPr>
            <w:tcW w:w="860" w:type="dxa"/>
            <w:tcBorders>
              <w:top w:val="nil"/>
              <w:left w:val="nil"/>
              <w:bottom w:val="nil"/>
              <w:right w:val="nil"/>
            </w:tcBorders>
            <w:shd w:val="clear" w:color="auto" w:fill="auto"/>
            <w:noWrap/>
            <w:vAlign w:val="bottom"/>
            <w:hideMark/>
          </w:tcPr>
          <w:p w14:paraId="48E2D3DB" w14:textId="77777777" w:rsidR="00BD5A3F" w:rsidRPr="00BD5A3F" w:rsidRDefault="00BD5A3F" w:rsidP="00BD5A3F">
            <w:pPr>
              <w:rPr>
                <w:rFonts w:ascii="Lucida Bright" w:eastAsia="Times New Roman" w:hAnsi="Lucida Bright" w:cs="Times New Roman"/>
                <w:sz w:val="20"/>
                <w:szCs w:val="20"/>
              </w:rPr>
            </w:pPr>
          </w:p>
        </w:tc>
        <w:tc>
          <w:tcPr>
            <w:tcW w:w="800" w:type="dxa"/>
            <w:tcBorders>
              <w:top w:val="nil"/>
              <w:left w:val="nil"/>
              <w:bottom w:val="nil"/>
              <w:right w:val="nil"/>
            </w:tcBorders>
            <w:shd w:val="clear" w:color="auto" w:fill="auto"/>
            <w:noWrap/>
            <w:vAlign w:val="bottom"/>
            <w:hideMark/>
          </w:tcPr>
          <w:p w14:paraId="40E66654" w14:textId="77777777" w:rsidR="00BD5A3F" w:rsidRPr="00BD5A3F" w:rsidRDefault="00BD5A3F" w:rsidP="00BD5A3F">
            <w:pPr>
              <w:rPr>
                <w:rFonts w:ascii="Lucida Bright" w:eastAsia="Times New Roman" w:hAnsi="Lucida Bright" w:cs="Times New Roman"/>
                <w:sz w:val="20"/>
                <w:szCs w:val="20"/>
              </w:rPr>
            </w:pPr>
          </w:p>
        </w:tc>
        <w:tc>
          <w:tcPr>
            <w:tcW w:w="700" w:type="dxa"/>
            <w:tcBorders>
              <w:top w:val="nil"/>
              <w:left w:val="nil"/>
              <w:bottom w:val="nil"/>
              <w:right w:val="nil"/>
            </w:tcBorders>
            <w:shd w:val="clear" w:color="auto" w:fill="auto"/>
            <w:noWrap/>
            <w:vAlign w:val="bottom"/>
            <w:hideMark/>
          </w:tcPr>
          <w:p w14:paraId="61F08253" w14:textId="77777777" w:rsidR="00BD5A3F" w:rsidRPr="00BD5A3F" w:rsidRDefault="00BD5A3F" w:rsidP="00BD5A3F">
            <w:pPr>
              <w:rPr>
                <w:rFonts w:ascii="Lucida Bright" w:eastAsia="Times New Roman" w:hAnsi="Lucida Bright" w:cs="Times New Roman"/>
                <w:sz w:val="20"/>
                <w:szCs w:val="20"/>
              </w:rPr>
            </w:pPr>
          </w:p>
        </w:tc>
        <w:tc>
          <w:tcPr>
            <w:tcW w:w="780" w:type="dxa"/>
            <w:tcBorders>
              <w:top w:val="nil"/>
              <w:left w:val="nil"/>
              <w:bottom w:val="nil"/>
              <w:right w:val="nil"/>
            </w:tcBorders>
            <w:shd w:val="clear" w:color="auto" w:fill="auto"/>
            <w:noWrap/>
            <w:vAlign w:val="bottom"/>
            <w:hideMark/>
          </w:tcPr>
          <w:p w14:paraId="62C493E0" w14:textId="77777777" w:rsidR="00BD5A3F" w:rsidRPr="00BD5A3F" w:rsidRDefault="00BD5A3F" w:rsidP="00BD5A3F">
            <w:pPr>
              <w:rPr>
                <w:rFonts w:ascii="Lucida Bright" w:eastAsia="Times New Roman" w:hAnsi="Lucida Bright" w:cs="Times New Roman"/>
                <w:sz w:val="20"/>
                <w:szCs w:val="20"/>
              </w:rPr>
            </w:pPr>
          </w:p>
        </w:tc>
        <w:tc>
          <w:tcPr>
            <w:tcW w:w="660" w:type="dxa"/>
            <w:tcBorders>
              <w:top w:val="nil"/>
              <w:left w:val="nil"/>
              <w:bottom w:val="nil"/>
              <w:right w:val="nil"/>
            </w:tcBorders>
            <w:shd w:val="clear" w:color="auto" w:fill="auto"/>
            <w:noWrap/>
            <w:vAlign w:val="bottom"/>
            <w:hideMark/>
          </w:tcPr>
          <w:p w14:paraId="2A69DD88" w14:textId="77777777" w:rsidR="00BD5A3F" w:rsidRPr="00BD5A3F" w:rsidRDefault="00BD5A3F" w:rsidP="00BD5A3F">
            <w:pPr>
              <w:rPr>
                <w:rFonts w:ascii="Lucida Bright" w:eastAsia="Times New Roman" w:hAnsi="Lucida Bright" w:cs="Times New Roman"/>
                <w:sz w:val="20"/>
                <w:szCs w:val="20"/>
              </w:rPr>
            </w:pPr>
          </w:p>
        </w:tc>
        <w:tc>
          <w:tcPr>
            <w:tcW w:w="680" w:type="dxa"/>
            <w:tcBorders>
              <w:top w:val="nil"/>
              <w:left w:val="nil"/>
              <w:bottom w:val="nil"/>
              <w:right w:val="nil"/>
            </w:tcBorders>
            <w:shd w:val="clear" w:color="auto" w:fill="auto"/>
            <w:noWrap/>
            <w:vAlign w:val="bottom"/>
            <w:hideMark/>
          </w:tcPr>
          <w:p w14:paraId="3A646620" w14:textId="77777777" w:rsidR="00BD5A3F" w:rsidRPr="00BD5A3F" w:rsidRDefault="00BD5A3F" w:rsidP="00BD5A3F">
            <w:pPr>
              <w:rPr>
                <w:rFonts w:ascii="Lucida Bright" w:eastAsia="Times New Roman" w:hAnsi="Lucida Bright" w:cs="Times New Roman"/>
                <w:sz w:val="20"/>
                <w:szCs w:val="20"/>
              </w:rPr>
            </w:pPr>
          </w:p>
        </w:tc>
        <w:tc>
          <w:tcPr>
            <w:tcW w:w="620" w:type="dxa"/>
            <w:tcBorders>
              <w:top w:val="nil"/>
              <w:left w:val="nil"/>
              <w:bottom w:val="nil"/>
              <w:right w:val="nil"/>
            </w:tcBorders>
            <w:shd w:val="clear" w:color="auto" w:fill="auto"/>
            <w:noWrap/>
            <w:vAlign w:val="bottom"/>
            <w:hideMark/>
          </w:tcPr>
          <w:p w14:paraId="38AEAA8C" w14:textId="77777777" w:rsidR="00BD5A3F" w:rsidRPr="00BD5A3F" w:rsidRDefault="00BD5A3F" w:rsidP="00BD5A3F">
            <w:pPr>
              <w:rPr>
                <w:rFonts w:ascii="Lucida Bright" w:eastAsia="Times New Roman" w:hAnsi="Lucida Bright" w:cs="Times New Roman"/>
                <w:sz w:val="20"/>
                <w:szCs w:val="20"/>
              </w:rPr>
            </w:pPr>
          </w:p>
        </w:tc>
        <w:tc>
          <w:tcPr>
            <w:tcW w:w="740" w:type="dxa"/>
            <w:tcBorders>
              <w:top w:val="nil"/>
              <w:left w:val="nil"/>
              <w:bottom w:val="nil"/>
              <w:right w:val="nil"/>
            </w:tcBorders>
            <w:shd w:val="clear" w:color="auto" w:fill="auto"/>
            <w:noWrap/>
            <w:vAlign w:val="bottom"/>
            <w:hideMark/>
          </w:tcPr>
          <w:p w14:paraId="1FD19D4B"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478C1752"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3032508B" w14:textId="77777777" w:rsidTr="00BD5A3F">
        <w:trPr>
          <w:trHeight w:val="390"/>
        </w:trPr>
        <w:tc>
          <w:tcPr>
            <w:tcW w:w="4340" w:type="dxa"/>
            <w:gridSpan w:val="6"/>
            <w:tcBorders>
              <w:top w:val="nil"/>
              <w:left w:val="nil"/>
              <w:bottom w:val="nil"/>
              <w:right w:val="nil"/>
            </w:tcBorders>
            <w:shd w:val="clear" w:color="auto" w:fill="auto"/>
            <w:noWrap/>
            <w:vAlign w:val="center"/>
            <w:hideMark/>
          </w:tcPr>
          <w:p w14:paraId="6EC596F0" w14:textId="77777777" w:rsidR="00BD5A3F" w:rsidRPr="00435995" w:rsidRDefault="00BD5A3F" w:rsidP="00BD5A3F">
            <w:pP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rPr>
              <w:t xml:space="preserve">Table 1.   </w:t>
            </w: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20"/>
                <w:szCs w:val="20"/>
              </w:rPr>
              <w:t xml:space="preserve">Th dating results P10-H1.  </w:t>
            </w:r>
          </w:p>
        </w:tc>
        <w:tc>
          <w:tcPr>
            <w:tcW w:w="900" w:type="dxa"/>
            <w:tcBorders>
              <w:top w:val="nil"/>
              <w:left w:val="nil"/>
              <w:bottom w:val="nil"/>
              <w:right w:val="nil"/>
            </w:tcBorders>
            <w:shd w:val="clear" w:color="auto" w:fill="auto"/>
            <w:noWrap/>
            <w:vAlign w:val="bottom"/>
            <w:hideMark/>
          </w:tcPr>
          <w:p w14:paraId="2D3C644F" w14:textId="77777777" w:rsidR="00BD5A3F" w:rsidRPr="00435995" w:rsidRDefault="00BD5A3F" w:rsidP="00BD5A3F">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0E0EC91" w14:textId="77777777" w:rsidR="00BD5A3F" w:rsidRPr="00435995" w:rsidRDefault="00BD5A3F" w:rsidP="00BD5A3F">
            <w:pP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4FE01D30" w14:textId="77777777" w:rsidR="00BD5A3F" w:rsidRPr="00435995"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63CCA236" w14:textId="77777777" w:rsidR="00BD5A3F" w:rsidRPr="00435995"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3C77ECE0" w14:textId="77777777" w:rsidR="00BD5A3F" w:rsidRPr="00435995" w:rsidRDefault="00BD5A3F" w:rsidP="00BD5A3F">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FC71F7F" w14:textId="77777777" w:rsidR="00BD5A3F" w:rsidRPr="00435995" w:rsidRDefault="00BD5A3F" w:rsidP="00BD5A3F">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751027F8" w14:textId="77777777" w:rsidR="00BD5A3F" w:rsidRPr="00435995"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07DA5753" w14:textId="77777777" w:rsidR="00BD5A3F" w:rsidRPr="00435995" w:rsidRDefault="00BD5A3F" w:rsidP="00BD5A3F">
            <w:pP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E54B2F0" w14:textId="77777777" w:rsidR="00BD5A3F" w:rsidRPr="00435995" w:rsidRDefault="00BD5A3F" w:rsidP="00BD5A3F">
            <w:pPr>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72618C55" w14:textId="77777777" w:rsidR="00BD5A3F" w:rsidRPr="00435995"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3518F58" w14:textId="77777777" w:rsidR="00BD5A3F" w:rsidRPr="00435995"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0AF4DD31" w14:textId="77777777" w:rsidR="00BD5A3F" w:rsidRPr="00435995" w:rsidRDefault="00BD5A3F" w:rsidP="00BD5A3F">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6ED65972" w14:textId="77777777" w:rsidR="00BD5A3F" w:rsidRPr="00435995" w:rsidRDefault="00BD5A3F" w:rsidP="00BD5A3F">
            <w:pPr>
              <w:rPr>
                <w:rFonts w:ascii="Times New Roman" w:eastAsia="Times New Roman" w:hAnsi="Times New Roman" w:cs="Times New Roman"/>
                <w:sz w:val="20"/>
                <w:szCs w:val="20"/>
              </w:rPr>
            </w:pPr>
          </w:p>
        </w:tc>
      </w:tr>
      <w:tr w:rsidR="00BD5A3F" w:rsidRPr="00BD5A3F" w14:paraId="0DE1E4C9" w14:textId="77777777" w:rsidTr="00BD5A3F">
        <w:trPr>
          <w:trHeight w:val="330"/>
        </w:trPr>
        <w:tc>
          <w:tcPr>
            <w:tcW w:w="1200" w:type="dxa"/>
            <w:tcBorders>
              <w:top w:val="single" w:sz="4" w:space="0" w:color="auto"/>
              <w:left w:val="nil"/>
              <w:bottom w:val="nil"/>
              <w:right w:val="nil"/>
            </w:tcBorders>
            <w:shd w:val="clear" w:color="auto" w:fill="auto"/>
            <w:hideMark/>
          </w:tcPr>
          <w:p w14:paraId="1548AE27"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 xml:space="preserve">Sample </w:t>
            </w:r>
          </w:p>
        </w:tc>
        <w:tc>
          <w:tcPr>
            <w:tcW w:w="1100" w:type="dxa"/>
            <w:gridSpan w:val="2"/>
            <w:tcBorders>
              <w:top w:val="single" w:sz="4" w:space="0" w:color="auto"/>
              <w:left w:val="nil"/>
              <w:bottom w:val="nil"/>
              <w:right w:val="nil"/>
            </w:tcBorders>
            <w:shd w:val="clear" w:color="auto" w:fill="auto"/>
            <w:hideMark/>
          </w:tcPr>
          <w:p w14:paraId="204DD6DA"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238</w:t>
            </w:r>
            <w:r w:rsidRPr="00435995">
              <w:rPr>
                <w:rFonts w:ascii="Times New Roman" w:eastAsia="Times New Roman" w:hAnsi="Times New Roman" w:cs="Times New Roman"/>
                <w:b/>
                <w:bCs/>
                <w:sz w:val="18"/>
                <w:szCs w:val="18"/>
              </w:rPr>
              <w:t xml:space="preserve">U </w:t>
            </w:r>
          </w:p>
        </w:tc>
        <w:tc>
          <w:tcPr>
            <w:tcW w:w="1280" w:type="dxa"/>
            <w:gridSpan w:val="2"/>
            <w:tcBorders>
              <w:top w:val="single" w:sz="4" w:space="0" w:color="auto"/>
              <w:left w:val="nil"/>
              <w:bottom w:val="nil"/>
              <w:right w:val="nil"/>
            </w:tcBorders>
            <w:shd w:val="clear" w:color="auto" w:fill="auto"/>
            <w:hideMark/>
          </w:tcPr>
          <w:p w14:paraId="65382403"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232</w:t>
            </w:r>
            <w:r w:rsidRPr="00435995">
              <w:rPr>
                <w:rFonts w:ascii="Times New Roman" w:eastAsia="Times New Roman" w:hAnsi="Times New Roman" w:cs="Times New Roman"/>
                <w:b/>
                <w:bCs/>
                <w:sz w:val="18"/>
                <w:szCs w:val="18"/>
              </w:rPr>
              <w:t>Th</w:t>
            </w:r>
          </w:p>
        </w:tc>
        <w:tc>
          <w:tcPr>
            <w:tcW w:w="1660" w:type="dxa"/>
            <w:gridSpan w:val="2"/>
            <w:tcBorders>
              <w:top w:val="single" w:sz="4" w:space="0" w:color="auto"/>
              <w:left w:val="nil"/>
              <w:bottom w:val="nil"/>
              <w:right w:val="nil"/>
            </w:tcBorders>
            <w:shd w:val="clear" w:color="auto" w:fill="auto"/>
            <w:hideMark/>
          </w:tcPr>
          <w:p w14:paraId="35CA777C"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18"/>
                <w:szCs w:val="18"/>
              </w:rPr>
              <w:t>Th</w:t>
            </w:r>
            <w:r w:rsidRPr="00435995">
              <w:rPr>
                <w:rFonts w:ascii="Times New Roman" w:eastAsia="Times New Roman" w:hAnsi="Times New Roman" w:cs="Times New Roman"/>
                <w:b/>
                <w:bCs/>
                <w:sz w:val="16"/>
                <w:szCs w:val="16"/>
              </w:rPr>
              <w:t xml:space="preserve"> </w:t>
            </w:r>
            <w:r w:rsidRPr="00435995">
              <w:rPr>
                <w:rFonts w:ascii="Times New Roman" w:eastAsia="Times New Roman" w:hAnsi="Times New Roman" w:cs="Times New Roman"/>
                <w:b/>
                <w:bCs/>
                <w:sz w:val="18"/>
                <w:szCs w:val="18"/>
              </w:rPr>
              <w:t>/</w:t>
            </w:r>
            <w:r w:rsidRPr="00435995">
              <w:rPr>
                <w:rFonts w:ascii="Times New Roman" w:eastAsia="Times New Roman" w:hAnsi="Times New Roman" w:cs="Times New Roman"/>
                <w:b/>
                <w:bCs/>
                <w:sz w:val="16"/>
                <w:szCs w:val="16"/>
              </w:rPr>
              <w:t xml:space="preserve"> </w:t>
            </w:r>
            <w:r w:rsidRPr="00435995">
              <w:rPr>
                <w:rFonts w:ascii="Times New Roman" w:eastAsia="Times New Roman" w:hAnsi="Times New Roman" w:cs="Times New Roman"/>
                <w:b/>
                <w:bCs/>
                <w:sz w:val="20"/>
                <w:szCs w:val="20"/>
                <w:vertAlign w:val="superscript"/>
              </w:rPr>
              <w:t>232</w:t>
            </w:r>
            <w:r w:rsidRPr="00435995">
              <w:rPr>
                <w:rFonts w:ascii="Times New Roman" w:eastAsia="Times New Roman" w:hAnsi="Times New Roman" w:cs="Times New Roman"/>
                <w:b/>
                <w:bCs/>
                <w:sz w:val="18"/>
                <w:szCs w:val="18"/>
              </w:rPr>
              <w:t>Th</w:t>
            </w:r>
          </w:p>
        </w:tc>
        <w:tc>
          <w:tcPr>
            <w:tcW w:w="1280" w:type="dxa"/>
            <w:gridSpan w:val="2"/>
            <w:tcBorders>
              <w:top w:val="single" w:sz="4" w:space="0" w:color="auto"/>
              <w:left w:val="nil"/>
              <w:bottom w:val="nil"/>
              <w:right w:val="nil"/>
            </w:tcBorders>
            <w:shd w:val="clear" w:color="auto" w:fill="auto"/>
            <w:hideMark/>
          </w:tcPr>
          <w:p w14:paraId="33569535"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w:t>
            </w:r>
            <w:r w:rsidRPr="00435995">
              <w:rPr>
                <w:rFonts w:ascii="Times New Roman" w:eastAsia="Times New Roman" w:hAnsi="Times New Roman" w:cs="Times New Roman"/>
                <w:b/>
                <w:bCs/>
                <w:sz w:val="20"/>
                <w:szCs w:val="20"/>
                <w:vertAlign w:val="superscript"/>
              </w:rPr>
              <w:t>234</w:t>
            </w:r>
            <w:r w:rsidRPr="00435995">
              <w:rPr>
                <w:rFonts w:ascii="Times New Roman" w:eastAsia="Times New Roman" w:hAnsi="Times New Roman" w:cs="Times New Roman"/>
                <w:b/>
                <w:bCs/>
                <w:sz w:val="18"/>
                <w:szCs w:val="18"/>
              </w:rPr>
              <w:t>U*</w:t>
            </w:r>
          </w:p>
        </w:tc>
        <w:tc>
          <w:tcPr>
            <w:tcW w:w="1720" w:type="dxa"/>
            <w:gridSpan w:val="2"/>
            <w:tcBorders>
              <w:top w:val="single" w:sz="4" w:space="0" w:color="auto"/>
              <w:left w:val="nil"/>
              <w:bottom w:val="nil"/>
              <w:right w:val="nil"/>
            </w:tcBorders>
            <w:shd w:val="clear" w:color="auto" w:fill="auto"/>
            <w:hideMark/>
          </w:tcPr>
          <w:p w14:paraId="1BA6DED5"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18"/>
                <w:szCs w:val="18"/>
              </w:rPr>
              <w:t>Th</w:t>
            </w:r>
            <w:r w:rsidRPr="00435995">
              <w:rPr>
                <w:rFonts w:ascii="Times New Roman" w:eastAsia="Times New Roman" w:hAnsi="Times New Roman" w:cs="Times New Roman"/>
                <w:b/>
                <w:bCs/>
                <w:sz w:val="16"/>
                <w:szCs w:val="16"/>
              </w:rPr>
              <w:t xml:space="preserve"> </w:t>
            </w:r>
            <w:r w:rsidRPr="00435995">
              <w:rPr>
                <w:rFonts w:ascii="Times New Roman" w:eastAsia="Times New Roman" w:hAnsi="Times New Roman" w:cs="Times New Roman"/>
                <w:b/>
                <w:bCs/>
                <w:sz w:val="18"/>
                <w:szCs w:val="18"/>
              </w:rPr>
              <w:t>/</w:t>
            </w:r>
            <w:r w:rsidRPr="00435995">
              <w:rPr>
                <w:rFonts w:ascii="Times New Roman" w:eastAsia="Times New Roman" w:hAnsi="Times New Roman" w:cs="Times New Roman"/>
                <w:b/>
                <w:bCs/>
                <w:sz w:val="16"/>
                <w:szCs w:val="16"/>
              </w:rPr>
              <w:t xml:space="preserve"> </w:t>
            </w:r>
            <w:r w:rsidRPr="00435995">
              <w:rPr>
                <w:rFonts w:ascii="Times New Roman" w:eastAsia="Times New Roman" w:hAnsi="Times New Roman" w:cs="Times New Roman"/>
                <w:b/>
                <w:bCs/>
                <w:sz w:val="20"/>
                <w:szCs w:val="20"/>
                <w:vertAlign w:val="superscript"/>
              </w:rPr>
              <w:t>238</w:t>
            </w:r>
            <w:r w:rsidRPr="00435995">
              <w:rPr>
                <w:rFonts w:ascii="Times New Roman" w:eastAsia="Times New Roman" w:hAnsi="Times New Roman" w:cs="Times New Roman"/>
                <w:b/>
                <w:bCs/>
                <w:sz w:val="18"/>
                <w:szCs w:val="18"/>
              </w:rPr>
              <w:t>U</w:t>
            </w:r>
          </w:p>
        </w:tc>
        <w:tc>
          <w:tcPr>
            <w:tcW w:w="1500" w:type="dxa"/>
            <w:gridSpan w:val="2"/>
            <w:tcBorders>
              <w:top w:val="single" w:sz="4" w:space="0" w:color="auto"/>
              <w:left w:val="nil"/>
              <w:bottom w:val="nil"/>
              <w:right w:val="nil"/>
            </w:tcBorders>
            <w:shd w:val="clear" w:color="auto" w:fill="auto"/>
            <w:hideMark/>
          </w:tcPr>
          <w:p w14:paraId="6BBF5D47"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18"/>
                <w:szCs w:val="18"/>
              </w:rPr>
              <w:t>Th Age (yr)</w:t>
            </w:r>
          </w:p>
        </w:tc>
        <w:tc>
          <w:tcPr>
            <w:tcW w:w="1440" w:type="dxa"/>
            <w:gridSpan w:val="2"/>
            <w:tcBorders>
              <w:top w:val="single" w:sz="4" w:space="0" w:color="auto"/>
              <w:left w:val="nil"/>
              <w:bottom w:val="nil"/>
              <w:right w:val="nil"/>
            </w:tcBorders>
            <w:shd w:val="clear" w:color="auto" w:fill="auto"/>
            <w:hideMark/>
          </w:tcPr>
          <w:p w14:paraId="276A6D12"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18"/>
                <w:szCs w:val="18"/>
              </w:rPr>
              <w:t>Th Age (yr)</w:t>
            </w:r>
          </w:p>
        </w:tc>
        <w:tc>
          <w:tcPr>
            <w:tcW w:w="1300" w:type="dxa"/>
            <w:gridSpan w:val="2"/>
            <w:tcBorders>
              <w:top w:val="single" w:sz="4" w:space="0" w:color="auto"/>
              <w:left w:val="nil"/>
              <w:bottom w:val="nil"/>
              <w:right w:val="nil"/>
            </w:tcBorders>
            <w:shd w:val="clear" w:color="auto" w:fill="auto"/>
            <w:hideMark/>
          </w:tcPr>
          <w:p w14:paraId="38E7242E"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w:t>
            </w:r>
            <w:r w:rsidRPr="00435995">
              <w:rPr>
                <w:rFonts w:ascii="Times New Roman" w:eastAsia="Times New Roman" w:hAnsi="Times New Roman" w:cs="Times New Roman"/>
                <w:b/>
                <w:bCs/>
                <w:sz w:val="20"/>
                <w:szCs w:val="20"/>
                <w:vertAlign w:val="superscript"/>
              </w:rPr>
              <w:t>234</w:t>
            </w:r>
            <w:r w:rsidRPr="00435995">
              <w:rPr>
                <w:rFonts w:ascii="Times New Roman" w:eastAsia="Times New Roman" w:hAnsi="Times New Roman" w:cs="Times New Roman"/>
                <w:b/>
                <w:bCs/>
                <w:sz w:val="18"/>
                <w:szCs w:val="18"/>
              </w:rPr>
              <w:t>U</w:t>
            </w:r>
            <w:r w:rsidRPr="00435995">
              <w:rPr>
                <w:rFonts w:ascii="Times New Roman" w:eastAsia="Times New Roman" w:hAnsi="Times New Roman" w:cs="Times New Roman"/>
                <w:b/>
                <w:bCs/>
                <w:sz w:val="18"/>
                <w:szCs w:val="18"/>
                <w:vertAlign w:val="subscript"/>
              </w:rPr>
              <w:t>Initial</w:t>
            </w:r>
            <w:r w:rsidRPr="00435995">
              <w:rPr>
                <w:rFonts w:ascii="Times New Roman" w:eastAsia="Times New Roman" w:hAnsi="Times New Roman" w:cs="Times New Roman"/>
                <w:b/>
                <w:bCs/>
                <w:sz w:val="18"/>
                <w:szCs w:val="18"/>
              </w:rPr>
              <w:t>**</w:t>
            </w:r>
          </w:p>
        </w:tc>
        <w:tc>
          <w:tcPr>
            <w:tcW w:w="2080" w:type="dxa"/>
            <w:gridSpan w:val="2"/>
            <w:tcBorders>
              <w:top w:val="single" w:sz="4" w:space="0" w:color="auto"/>
              <w:left w:val="nil"/>
              <w:bottom w:val="nil"/>
              <w:right w:val="nil"/>
            </w:tcBorders>
            <w:shd w:val="clear" w:color="auto" w:fill="auto"/>
            <w:hideMark/>
          </w:tcPr>
          <w:p w14:paraId="1663CDFB" w14:textId="77777777" w:rsidR="00BD5A3F" w:rsidRPr="00435995" w:rsidRDefault="00BD5A3F" w:rsidP="00BD5A3F">
            <w:pPr>
              <w:jc w:val="center"/>
              <w:rPr>
                <w:rFonts w:ascii="Times New Roman" w:eastAsia="Times New Roman" w:hAnsi="Times New Roman" w:cs="Times New Roman"/>
                <w:b/>
                <w:bCs/>
                <w:sz w:val="20"/>
                <w:szCs w:val="20"/>
              </w:rPr>
            </w:pPr>
            <w:r w:rsidRPr="00435995">
              <w:rPr>
                <w:rFonts w:ascii="Times New Roman" w:eastAsia="Times New Roman" w:hAnsi="Times New Roman" w:cs="Times New Roman"/>
                <w:b/>
                <w:bCs/>
                <w:sz w:val="20"/>
                <w:szCs w:val="20"/>
                <w:vertAlign w:val="superscript"/>
              </w:rPr>
              <w:t>230</w:t>
            </w:r>
            <w:r w:rsidRPr="00435995">
              <w:rPr>
                <w:rFonts w:ascii="Times New Roman" w:eastAsia="Times New Roman" w:hAnsi="Times New Roman" w:cs="Times New Roman"/>
                <w:b/>
                <w:bCs/>
                <w:sz w:val="18"/>
                <w:szCs w:val="18"/>
              </w:rPr>
              <w:t>Th Age (yr BP)***</w:t>
            </w:r>
          </w:p>
        </w:tc>
      </w:tr>
      <w:tr w:rsidR="00BD5A3F" w:rsidRPr="00BD5A3F" w14:paraId="0BE41109" w14:textId="77777777" w:rsidTr="00BD5A3F">
        <w:trPr>
          <w:trHeight w:val="520"/>
        </w:trPr>
        <w:tc>
          <w:tcPr>
            <w:tcW w:w="1200" w:type="dxa"/>
            <w:tcBorders>
              <w:top w:val="nil"/>
              <w:left w:val="nil"/>
              <w:bottom w:val="single" w:sz="4" w:space="0" w:color="auto"/>
              <w:right w:val="nil"/>
            </w:tcBorders>
            <w:shd w:val="clear" w:color="auto" w:fill="auto"/>
            <w:hideMark/>
          </w:tcPr>
          <w:p w14:paraId="2E12BB40"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Depth (mm)</w:t>
            </w:r>
          </w:p>
        </w:tc>
        <w:tc>
          <w:tcPr>
            <w:tcW w:w="1100" w:type="dxa"/>
            <w:gridSpan w:val="2"/>
            <w:tcBorders>
              <w:top w:val="nil"/>
              <w:left w:val="nil"/>
              <w:bottom w:val="single" w:sz="4" w:space="0" w:color="auto"/>
              <w:right w:val="nil"/>
            </w:tcBorders>
            <w:shd w:val="clear" w:color="auto" w:fill="auto"/>
            <w:hideMark/>
          </w:tcPr>
          <w:p w14:paraId="1FA663FD"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(ppb)</w:t>
            </w:r>
          </w:p>
        </w:tc>
        <w:tc>
          <w:tcPr>
            <w:tcW w:w="1280" w:type="dxa"/>
            <w:gridSpan w:val="2"/>
            <w:tcBorders>
              <w:top w:val="nil"/>
              <w:left w:val="nil"/>
              <w:bottom w:val="single" w:sz="4" w:space="0" w:color="auto"/>
              <w:right w:val="nil"/>
            </w:tcBorders>
            <w:shd w:val="clear" w:color="auto" w:fill="auto"/>
            <w:hideMark/>
          </w:tcPr>
          <w:p w14:paraId="4D569D4D"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(ppt)</w:t>
            </w:r>
          </w:p>
        </w:tc>
        <w:tc>
          <w:tcPr>
            <w:tcW w:w="1660" w:type="dxa"/>
            <w:gridSpan w:val="2"/>
            <w:tcBorders>
              <w:top w:val="nil"/>
              <w:left w:val="nil"/>
              <w:bottom w:val="single" w:sz="4" w:space="0" w:color="auto"/>
              <w:right w:val="nil"/>
            </w:tcBorders>
            <w:shd w:val="clear" w:color="auto" w:fill="auto"/>
            <w:hideMark/>
          </w:tcPr>
          <w:p w14:paraId="0EDD7C40"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(atomic x10</w:t>
            </w:r>
            <w:r w:rsidRPr="00435995">
              <w:rPr>
                <w:rFonts w:ascii="Times New Roman" w:eastAsia="Times New Roman" w:hAnsi="Times New Roman" w:cs="Times New Roman"/>
                <w:b/>
                <w:bCs/>
                <w:sz w:val="20"/>
                <w:szCs w:val="20"/>
                <w:vertAlign w:val="superscript"/>
              </w:rPr>
              <w:t>-6</w:t>
            </w:r>
            <w:r w:rsidRPr="00435995">
              <w:rPr>
                <w:rFonts w:ascii="Times New Roman" w:eastAsia="Times New Roman" w:hAnsi="Times New Roman" w:cs="Times New Roman"/>
                <w:b/>
                <w:bCs/>
                <w:sz w:val="18"/>
                <w:szCs w:val="18"/>
              </w:rPr>
              <w:t>)</w:t>
            </w:r>
          </w:p>
        </w:tc>
        <w:tc>
          <w:tcPr>
            <w:tcW w:w="1280" w:type="dxa"/>
            <w:gridSpan w:val="2"/>
            <w:tcBorders>
              <w:top w:val="nil"/>
              <w:left w:val="nil"/>
              <w:bottom w:val="single" w:sz="4" w:space="0" w:color="auto"/>
              <w:right w:val="nil"/>
            </w:tcBorders>
            <w:shd w:val="clear" w:color="auto" w:fill="auto"/>
            <w:hideMark/>
          </w:tcPr>
          <w:p w14:paraId="61F45E97"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(measured)</w:t>
            </w:r>
          </w:p>
        </w:tc>
        <w:tc>
          <w:tcPr>
            <w:tcW w:w="1720" w:type="dxa"/>
            <w:gridSpan w:val="2"/>
            <w:tcBorders>
              <w:top w:val="nil"/>
              <w:left w:val="nil"/>
              <w:bottom w:val="single" w:sz="4" w:space="0" w:color="auto"/>
              <w:right w:val="nil"/>
            </w:tcBorders>
            <w:shd w:val="clear" w:color="auto" w:fill="auto"/>
            <w:hideMark/>
          </w:tcPr>
          <w:p w14:paraId="76DDC1A9"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(activity)</w:t>
            </w:r>
          </w:p>
        </w:tc>
        <w:tc>
          <w:tcPr>
            <w:tcW w:w="1500" w:type="dxa"/>
            <w:gridSpan w:val="2"/>
            <w:tcBorders>
              <w:top w:val="nil"/>
              <w:left w:val="nil"/>
              <w:bottom w:val="single" w:sz="4" w:space="0" w:color="auto"/>
              <w:right w:val="nil"/>
            </w:tcBorders>
            <w:shd w:val="clear" w:color="auto" w:fill="auto"/>
            <w:hideMark/>
          </w:tcPr>
          <w:p w14:paraId="345B656F"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(uncorrected)</w:t>
            </w:r>
          </w:p>
        </w:tc>
        <w:tc>
          <w:tcPr>
            <w:tcW w:w="1440" w:type="dxa"/>
            <w:gridSpan w:val="2"/>
            <w:tcBorders>
              <w:top w:val="nil"/>
              <w:left w:val="nil"/>
              <w:bottom w:val="single" w:sz="4" w:space="0" w:color="auto"/>
              <w:right w:val="nil"/>
            </w:tcBorders>
            <w:shd w:val="clear" w:color="auto" w:fill="auto"/>
            <w:hideMark/>
          </w:tcPr>
          <w:p w14:paraId="314F22AD"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(corrected)</w:t>
            </w:r>
          </w:p>
        </w:tc>
        <w:tc>
          <w:tcPr>
            <w:tcW w:w="1300" w:type="dxa"/>
            <w:gridSpan w:val="2"/>
            <w:tcBorders>
              <w:top w:val="nil"/>
              <w:left w:val="nil"/>
              <w:bottom w:val="single" w:sz="4" w:space="0" w:color="auto"/>
              <w:right w:val="nil"/>
            </w:tcBorders>
            <w:shd w:val="clear" w:color="auto" w:fill="auto"/>
            <w:hideMark/>
          </w:tcPr>
          <w:p w14:paraId="43F20809"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(corrected)</w:t>
            </w:r>
          </w:p>
        </w:tc>
        <w:tc>
          <w:tcPr>
            <w:tcW w:w="2080" w:type="dxa"/>
            <w:gridSpan w:val="2"/>
            <w:tcBorders>
              <w:top w:val="nil"/>
              <w:left w:val="nil"/>
              <w:bottom w:val="single" w:sz="4" w:space="0" w:color="auto"/>
              <w:right w:val="nil"/>
            </w:tcBorders>
            <w:shd w:val="clear" w:color="auto" w:fill="auto"/>
            <w:hideMark/>
          </w:tcPr>
          <w:p w14:paraId="372B1C29" w14:textId="77777777" w:rsidR="00BD5A3F" w:rsidRPr="00435995" w:rsidRDefault="00BD5A3F" w:rsidP="00BD5A3F">
            <w:pPr>
              <w:jc w:val="center"/>
              <w:rPr>
                <w:rFonts w:ascii="Times New Roman" w:eastAsia="Times New Roman" w:hAnsi="Times New Roman" w:cs="Times New Roman"/>
                <w:b/>
                <w:bCs/>
                <w:sz w:val="18"/>
                <w:szCs w:val="18"/>
              </w:rPr>
            </w:pPr>
            <w:r w:rsidRPr="00435995">
              <w:rPr>
                <w:rFonts w:ascii="Times New Roman" w:eastAsia="Times New Roman" w:hAnsi="Times New Roman" w:cs="Times New Roman"/>
                <w:b/>
                <w:bCs/>
                <w:sz w:val="18"/>
                <w:szCs w:val="18"/>
              </w:rPr>
              <w:t>(corrected )</w:t>
            </w:r>
          </w:p>
        </w:tc>
      </w:tr>
      <w:tr w:rsidR="00BD5A3F" w:rsidRPr="00BD5A3F" w14:paraId="6A645DD7" w14:textId="77777777" w:rsidTr="00BD5A3F">
        <w:trPr>
          <w:trHeight w:val="135"/>
        </w:trPr>
        <w:tc>
          <w:tcPr>
            <w:tcW w:w="1200" w:type="dxa"/>
            <w:tcBorders>
              <w:top w:val="nil"/>
              <w:left w:val="nil"/>
              <w:bottom w:val="nil"/>
              <w:right w:val="nil"/>
            </w:tcBorders>
            <w:shd w:val="clear" w:color="auto" w:fill="auto"/>
            <w:noWrap/>
            <w:vAlign w:val="bottom"/>
            <w:hideMark/>
          </w:tcPr>
          <w:p w14:paraId="476E4C54" w14:textId="77777777" w:rsidR="00BD5A3F" w:rsidRPr="00435995" w:rsidRDefault="00BD5A3F" w:rsidP="00BD5A3F">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6D7305FC" w14:textId="77777777" w:rsidR="00BD5A3F" w:rsidRPr="00435995" w:rsidRDefault="00BD5A3F" w:rsidP="00BD5A3F">
            <w:pPr>
              <w:rPr>
                <w:rFonts w:ascii="Times New Roman" w:eastAsia="Times New Roman" w:hAnsi="Times New Roman" w:cs="Times New Roman"/>
                <w:sz w:val="20"/>
                <w:szCs w:val="20"/>
              </w:rPr>
            </w:pPr>
          </w:p>
        </w:tc>
        <w:tc>
          <w:tcPr>
            <w:tcW w:w="480" w:type="dxa"/>
            <w:tcBorders>
              <w:top w:val="nil"/>
              <w:left w:val="nil"/>
              <w:bottom w:val="nil"/>
              <w:right w:val="nil"/>
            </w:tcBorders>
            <w:shd w:val="clear" w:color="auto" w:fill="auto"/>
            <w:noWrap/>
            <w:vAlign w:val="bottom"/>
            <w:hideMark/>
          </w:tcPr>
          <w:p w14:paraId="70B97BB8" w14:textId="77777777" w:rsidR="00BD5A3F" w:rsidRPr="00435995" w:rsidRDefault="00BD5A3F" w:rsidP="00BD5A3F">
            <w:pP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16CC46B2" w14:textId="77777777" w:rsidR="00BD5A3F" w:rsidRPr="00435995"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35C0D017" w14:textId="77777777" w:rsidR="00BD5A3F" w:rsidRPr="00435995" w:rsidRDefault="00BD5A3F" w:rsidP="00BD5A3F">
            <w:pP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0FBC963" w14:textId="77777777" w:rsidR="00BD5A3F" w:rsidRPr="00435995" w:rsidRDefault="00BD5A3F" w:rsidP="00BD5A3F">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669BC4D" w14:textId="77777777" w:rsidR="00BD5A3F" w:rsidRPr="00435995" w:rsidRDefault="00BD5A3F" w:rsidP="00BD5A3F">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71698793" w14:textId="77777777" w:rsidR="00BD5A3F" w:rsidRPr="00435995" w:rsidRDefault="00BD5A3F" w:rsidP="00BD5A3F">
            <w:pP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7882F5AE" w14:textId="77777777" w:rsidR="00BD5A3F" w:rsidRPr="00435995"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531807F9" w14:textId="77777777" w:rsidR="00BD5A3F" w:rsidRPr="00435995"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5BF6CDB9" w14:textId="77777777" w:rsidR="00BD5A3F" w:rsidRPr="00435995" w:rsidRDefault="00BD5A3F" w:rsidP="00BD5A3F">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63F0C1F" w14:textId="77777777" w:rsidR="00BD5A3F" w:rsidRPr="00435995" w:rsidRDefault="00BD5A3F" w:rsidP="00BD5A3F">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5BC0D9E7" w14:textId="77777777" w:rsidR="00BD5A3F" w:rsidRPr="00435995"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10744831" w14:textId="77777777" w:rsidR="00BD5A3F" w:rsidRPr="00435995" w:rsidRDefault="00BD5A3F" w:rsidP="00BD5A3F">
            <w:pP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8022809" w14:textId="77777777" w:rsidR="00BD5A3F" w:rsidRPr="00435995" w:rsidRDefault="00BD5A3F" w:rsidP="00BD5A3F">
            <w:pPr>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65C6CFDD" w14:textId="77777777" w:rsidR="00BD5A3F" w:rsidRPr="00435995"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17212F06" w14:textId="77777777" w:rsidR="00BD5A3F" w:rsidRPr="00435995"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6F15B592" w14:textId="77777777" w:rsidR="00BD5A3F" w:rsidRPr="00435995" w:rsidRDefault="00BD5A3F" w:rsidP="00BD5A3F">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2EE38B51" w14:textId="77777777" w:rsidR="00BD5A3F" w:rsidRPr="00435995" w:rsidRDefault="00BD5A3F" w:rsidP="00BD5A3F">
            <w:pPr>
              <w:rPr>
                <w:rFonts w:ascii="Times New Roman" w:eastAsia="Times New Roman" w:hAnsi="Times New Roman" w:cs="Times New Roman"/>
                <w:sz w:val="20"/>
                <w:szCs w:val="20"/>
              </w:rPr>
            </w:pPr>
          </w:p>
        </w:tc>
      </w:tr>
      <w:tr w:rsidR="00BD5A3F" w:rsidRPr="00BD5A3F" w14:paraId="05F70328" w14:textId="77777777" w:rsidTr="00BD5A3F">
        <w:trPr>
          <w:trHeight w:val="260"/>
        </w:trPr>
        <w:tc>
          <w:tcPr>
            <w:tcW w:w="1200" w:type="dxa"/>
            <w:tcBorders>
              <w:top w:val="nil"/>
              <w:left w:val="nil"/>
              <w:bottom w:val="nil"/>
              <w:right w:val="nil"/>
            </w:tcBorders>
            <w:shd w:val="clear" w:color="auto" w:fill="auto"/>
            <w:noWrap/>
            <w:vAlign w:val="bottom"/>
            <w:hideMark/>
          </w:tcPr>
          <w:p w14:paraId="277102E2"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w:t>
            </w:r>
          </w:p>
        </w:tc>
        <w:tc>
          <w:tcPr>
            <w:tcW w:w="620" w:type="dxa"/>
            <w:tcBorders>
              <w:top w:val="nil"/>
              <w:left w:val="nil"/>
              <w:bottom w:val="nil"/>
              <w:right w:val="nil"/>
            </w:tcBorders>
            <w:shd w:val="clear" w:color="auto" w:fill="auto"/>
            <w:noWrap/>
            <w:vAlign w:val="bottom"/>
            <w:hideMark/>
          </w:tcPr>
          <w:p w14:paraId="358862A8"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338.8</w:t>
            </w:r>
          </w:p>
        </w:tc>
        <w:tc>
          <w:tcPr>
            <w:tcW w:w="480" w:type="dxa"/>
            <w:tcBorders>
              <w:top w:val="nil"/>
              <w:left w:val="nil"/>
              <w:bottom w:val="nil"/>
              <w:right w:val="nil"/>
            </w:tcBorders>
            <w:shd w:val="clear" w:color="auto" w:fill="auto"/>
            <w:noWrap/>
            <w:vAlign w:val="bottom"/>
            <w:hideMark/>
          </w:tcPr>
          <w:p w14:paraId="4C3D969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0.5</w:t>
            </w:r>
          </w:p>
        </w:tc>
        <w:tc>
          <w:tcPr>
            <w:tcW w:w="660" w:type="dxa"/>
            <w:tcBorders>
              <w:top w:val="nil"/>
              <w:left w:val="nil"/>
              <w:bottom w:val="nil"/>
              <w:right w:val="nil"/>
            </w:tcBorders>
            <w:shd w:val="clear" w:color="auto" w:fill="auto"/>
            <w:noWrap/>
            <w:vAlign w:val="bottom"/>
            <w:hideMark/>
          </w:tcPr>
          <w:p w14:paraId="71C78E6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1529</w:t>
            </w:r>
          </w:p>
        </w:tc>
        <w:tc>
          <w:tcPr>
            <w:tcW w:w="620" w:type="dxa"/>
            <w:tcBorders>
              <w:top w:val="nil"/>
              <w:left w:val="nil"/>
              <w:bottom w:val="nil"/>
              <w:right w:val="nil"/>
            </w:tcBorders>
            <w:shd w:val="clear" w:color="auto" w:fill="auto"/>
            <w:noWrap/>
            <w:vAlign w:val="bottom"/>
            <w:hideMark/>
          </w:tcPr>
          <w:p w14:paraId="0FAED3F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 31</w:t>
            </w:r>
          </w:p>
        </w:tc>
        <w:tc>
          <w:tcPr>
            <w:tcW w:w="760" w:type="dxa"/>
            <w:tcBorders>
              <w:top w:val="nil"/>
              <w:left w:val="nil"/>
              <w:bottom w:val="nil"/>
              <w:right w:val="nil"/>
            </w:tcBorders>
            <w:shd w:val="clear" w:color="auto" w:fill="auto"/>
            <w:noWrap/>
            <w:vAlign w:val="bottom"/>
            <w:hideMark/>
          </w:tcPr>
          <w:p w14:paraId="4105AC2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13890.2</w:t>
            </w:r>
          </w:p>
        </w:tc>
        <w:tc>
          <w:tcPr>
            <w:tcW w:w="900" w:type="dxa"/>
            <w:tcBorders>
              <w:top w:val="nil"/>
              <w:left w:val="nil"/>
              <w:bottom w:val="nil"/>
              <w:right w:val="nil"/>
            </w:tcBorders>
            <w:shd w:val="clear" w:color="auto" w:fill="auto"/>
            <w:noWrap/>
            <w:vAlign w:val="bottom"/>
            <w:hideMark/>
          </w:tcPr>
          <w:p w14:paraId="11AB1C3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±278</w:t>
            </w:r>
          </w:p>
        </w:tc>
        <w:tc>
          <w:tcPr>
            <w:tcW w:w="720" w:type="dxa"/>
            <w:tcBorders>
              <w:top w:val="nil"/>
              <w:left w:val="nil"/>
              <w:bottom w:val="nil"/>
              <w:right w:val="nil"/>
            </w:tcBorders>
            <w:shd w:val="clear" w:color="auto" w:fill="auto"/>
            <w:noWrap/>
            <w:vAlign w:val="bottom"/>
            <w:hideMark/>
          </w:tcPr>
          <w:p w14:paraId="6C65D945"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4,189.4</w:t>
            </w:r>
          </w:p>
        </w:tc>
        <w:tc>
          <w:tcPr>
            <w:tcW w:w="560" w:type="dxa"/>
            <w:tcBorders>
              <w:top w:val="nil"/>
              <w:left w:val="nil"/>
              <w:bottom w:val="nil"/>
              <w:right w:val="nil"/>
            </w:tcBorders>
            <w:shd w:val="clear" w:color="auto" w:fill="auto"/>
            <w:noWrap/>
            <w:vAlign w:val="bottom"/>
            <w:hideMark/>
          </w:tcPr>
          <w:p w14:paraId="1A4D18D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 5.8</w:t>
            </w:r>
          </w:p>
        </w:tc>
        <w:tc>
          <w:tcPr>
            <w:tcW w:w="860" w:type="dxa"/>
            <w:tcBorders>
              <w:top w:val="nil"/>
              <w:left w:val="nil"/>
              <w:bottom w:val="nil"/>
              <w:right w:val="nil"/>
            </w:tcBorders>
            <w:shd w:val="clear" w:color="auto" w:fill="auto"/>
            <w:noWrap/>
            <w:vAlign w:val="bottom"/>
            <w:hideMark/>
          </w:tcPr>
          <w:p w14:paraId="1ABFA63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3.8023</w:t>
            </w:r>
          </w:p>
        </w:tc>
        <w:tc>
          <w:tcPr>
            <w:tcW w:w="860" w:type="dxa"/>
            <w:tcBorders>
              <w:top w:val="nil"/>
              <w:left w:val="nil"/>
              <w:bottom w:val="nil"/>
              <w:right w:val="nil"/>
            </w:tcBorders>
            <w:shd w:val="clear" w:color="auto" w:fill="auto"/>
            <w:noWrap/>
            <w:vAlign w:val="bottom"/>
            <w:hideMark/>
          </w:tcPr>
          <w:p w14:paraId="45591E5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0.0068</w:t>
            </w:r>
          </w:p>
        </w:tc>
        <w:tc>
          <w:tcPr>
            <w:tcW w:w="800" w:type="dxa"/>
            <w:tcBorders>
              <w:top w:val="nil"/>
              <w:left w:val="nil"/>
              <w:bottom w:val="nil"/>
              <w:right w:val="nil"/>
            </w:tcBorders>
            <w:shd w:val="clear" w:color="auto" w:fill="auto"/>
            <w:noWrap/>
            <w:vAlign w:val="bottom"/>
            <w:hideMark/>
          </w:tcPr>
          <w:p w14:paraId="06EEDC6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115,696</w:t>
            </w:r>
          </w:p>
        </w:tc>
        <w:tc>
          <w:tcPr>
            <w:tcW w:w="700" w:type="dxa"/>
            <w:tcBorders>
              <w:top w:val="nil"/>
              <w:left w:val="nil"/>
              <w:bottom w:val="nil"/>
              <w:right w:val="nil"/>
            </w:tcBorders>
            <w:shd w:val="clear" w:color="auto" w:fill="auto"/>
            <w:noWrap/>
            <w:vAlign w:val="bottom"/>
            <w:hideMark/>
          </w:tcPr>
          <w:p w14:paraId="148B5177"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±373</w:t>
            </w:r>
          </w:p>
        </w:tc>
        <w:tc>
          <w:tcPr>
            <w:tcW w:w="780" w:type="dxa"/>
            <w:tcBorders>
              <w:top w:val="nil"/>
              <w:left w:val="nil"/>
              <w:bottom w:val="nil"/>
              <w:right w:val="nil"/>
            </w:tcBorders>
            <w:shd w:val="clear" w:color="auto" w:fill="auto"/>
            <w:noWrap/>
            <w:vAlign w:val="bottom"/>
            <w:hideMark/>
          </w:tcPr>
          <w:p w14:paraId="3FC0EC1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115677</w:t>
            </w:r>
          </w:p>
        </w:tc>
        <w:tc>
          <w:tcPr>
            <w:tcW w:w="660" w:type="dxa"/>
            <w:tcBorders>
              <w:top w:val="nil"/>
              <w:left w:val="nil"/>
              <w:bottom w:val="nil"/>
              <w:right w:val="nil"/>
            </w:tcBorders>
            <w:shd w:val="clear" w:color="auto" w:fill="auto"/>
            <w:noWrap/>
            <w:vAlign w:val="bottom"/>
            <w:hideMark/>
          </w:tcPr>
          <w:p w14:paraId="672F02F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±373</w:t>
            </w:r>
          </w:p>
        </w:tc>
        <w:tc>
          <w:tcPr>
            <w:tcW w:w="680" w:type="dxa"/>
            <w:tcBorders>
              <w:top w:val="nil"/>
              <w:left w:val="nil"/>
              <w:bottom w:val="nil"/>
              <w:right w:val="nil"/>
            </w:tcBorders>
            <w:shd w:val="clear" w:color="auto" w:fill="auto"/>
            <w:noWrap/>
            <w:vAlign w:val="bottom"/>
            <w:hideMark/>
          </w:tcPr>
          <w:p w14:paraId="119226F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5806.6</w:t>
            </w:r>
          </w:p>
        </w:tc>
        <w:tc>
          <w:tcPr>
            <w:tcW w:w="620" w:type="dxa"/>
            <w:tcBorders>
              <w:top w:val="nil"/>
              <w:left w:val="nil"/>
              <w:bottom w:val="nil"/>
              <w:right w:val="nil"/>
            </w:tcBorders>
            <w:shd w:val="clear" w:color="auto" w:fill="auto"/>
            <w:noWrap/>
            <w:vAlign w:val="bottom"/>
            <w:hideMark/>
          </w:tcPr>
          <w:p w14:paraId="2EEE562F"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±10</w:t>
            </w:r>
          </w:p>
        </w:tc>
        <w:tc>
          <w:tcPr>
            <w:tcW w:w="740" w:type="dxa"/>
            <w:tcBorders>
              <w:top w:val="nil"/>
              <w:left w:val="nil"/>
              <w:bottom w:val="nil"/>
              <w:right w:val="nil"/>
            </w:tcBorders>
            <w:shd w:val="clear" w:color="auto" w:fill="auto"/>
            <w:noWrap/>
            <w:vAlign w:val="bottom"/>
            <w:hideMark/>
          </w:tcPr>
          <w:p w14:paraId="086D0B3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115617</w:t>
            </w:r>
          </w:p>
        </w:tc>
        <w:tc>
          <w:tcPr>
            <w:tcW w:w="1340" w:type="dxa"/>
            <w:tcBorders>
              <w:top w:val="nil"/>
              <w:left w:val="nil"/>
              <w:bottom w:val="nil"/>
              <w:right w:val="nil"/>
            </w:tcBorders>
            <w:shd w:val="clear" w:color="auto" w:fill="auto"/>
            <w:noWrap/>
            <w:vAlign w:val="bottom"/>
            <w:hideMark/>
          </w:tcPr>
          <w:p w14:paraId="5A54E58C"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±373</w:t>
            </w:r>
          </w:p>
        </w:tc>
      </w:tr>
      <w:tr w:rsidR="00BD5A3F" w:rsidRPr="00BD5A3F" w14:paraId="3ADC29F2" w14:textId="77777777" w:rsidTr="00BD5A3F">
        <w:trPr>
          <w:trHeight w:val="260"/>
        </w:trPr>
        <w:tc>
          <w:tcPr>
            <w:tcW w:w="1200" w:type="dxa"/>
            <w:tcBorders>
              <w:top w:val="nil"/>
              <w:left w:val="nil"/>
              <w:bottom w:val="nil"/>
              <w:right w:val="nil"/>
            </w:tcBorders>
            <w:shd w:val="clear" w:color="auto" w:fill="auto"/>
            <w:noWrap/>
            <w:vAlign w:val="bottom"/>
            <w:hideMark/>
          </w:tcPr>
          <w:p w14:paraId="7040BA18"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45</w:t>
            </w:r>
          </w:p>
        </w:tc>
        <w:tc>
          <w:tcPr>
            <w:tcW w:w="620" w:type="dxa"/>
            <w:tcBorders>
              <w:top w:val="nil"/>
              <w:left w:val="nil"/>
              <w:bottom w:val="nil"/>
              <w:right w:val="nil"/>
            </w:tcBorders>
            <w:shd w:val="clear" w:color="auto" w:fill="auto"/>
            <w:noWrap/>
            <w:vAlign w:val="bottom"/>
            <w:hideMark/>
          </w:tcPr>
          <w:p w14:paraId="7E301D2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407.4</w:t>
            </w:r>
          </w:p>
        </w:tc>
        <w:tc>
          <w:tcPr>
            <w:tcW w:w="480" w:type="dxa"/>
            <w:tcBorders>
              <w:top w:val="nil"/>
              <w:left w:val="nil"/>
              <w:bottom w:val="nil"/>
              <w:right w:val="nil"/>
            </w:tcBorders>
            <w:shd w:val="clear" w:color="auto" w:fill="auto"/>
            <w:noWrap/>
            <w:vAlign w:val="bottom"/>
            <w:hideMark/>
          </w:tcPr>
          <w:p w14:paraId="16DA8948"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±0.4</w:t>
            </w:r>
          </w:p>
        </w:tc>
        <w:tc>
          <w:tcPr>
            <w:tcW w:w="660" w:type="dxa"/>
            <w:tcBorders>
              <w:top w:val="nil"/>
              <w:left w:val="nil"/>
              <w:bottom w:val="nil"/>
              <w:right w:val="nil"/>
            </w:tcBorders>
            <w:shd w:val="clear" w:color="auto" w:fill="auto"/>
            <w:noWrap/>
            <w:vAlign w:val="bottom"/>
            <w:hideMark/>
          </w:tcPr>
          <w:p w14:paraId="58D1403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1242</w:t>
            </w:r>
          </w:p>
        </w:tc>
        <w:tc>
          <w:tcPr>
            <w:tcW w:w="620" w:type="dxa"/>
            <w:tcBorders>
              <w:top w:val="nil"/>
              <w:left w:val="nil"/>
              <w:bottom w:val="nil"/>
              <w:right w:val="nil"/>
            </w:tcBorders>
            <w:shd w:val="clear" w:color="auto" w:fill="auto"/>
            <w:noWrap/>
            <w:vAlign w:val="bottom"/>
            <w:hideMark/>
          </w:tcPr>
          <w:p w14:paraId="6E9A16A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±25</w:t>
            </w:r>
          </w:p>
        </w:tc>
        <w:tc>
          <w:tcPr>
            <w:tcW w:w="760" w:type="dxa"/>
            <w:tcBorders>
              <w:top w:val="nil"/>
              <w:left w:val="nil"/>
              <w:bottom w:val="nil"/>
              <w:right w:val="nil"/>
            </w:tcBorders>
            <w:shd w:val="clear" w:color="auto" w:fill="auto"/>
            <w:noWrap/>
            <w:vAlign w:val="bottom"/>
            <w:hideMark/>
          </w:tcPr>
          <w:p w14:paraId="28643B92"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19793.7</w:t>
            </w:r>
          </w:p>
        </w:tc>
        <w:tc>
          <w:tcPr>
            <w:tcW w:w="900" w:type="dxa"/>
            <w:tcBorders>
              <w:top w:val="nil"/>
              <w:left w:val="nil"/>
              <w:bottom w:val="nil"/>
              <w:right w:val="nil"/>
            </w:tcBorders>
            <w:shd w:val="clear" w:color="auto" w:fill="auto"/>
            <w:noWrap/>
            <w:vAlign w:val="bottom"/>
            <w:hideMark/>
          </w:tcPr>
          <w:p w14:paraId="284E125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±397</w:t>
            </w:r>
          </w:p>
        </w:tc>
        <w:tc>
          <w:tcPr>
            <w:tcW w:w="720" w:type="dxa"/>
            <w:tcBorders>
              <w:top w:val="nil"/>
              <w:left w:val="nil"/>
              <w:bottom w:val="nil"/>
              <w:right w:val="nil"/>
            </w:tcBorders>
            <w:shd w:val="clear" w:color="auto" w:fill="auto"/>
            <w:noWrap/>
            <w:vAlign w:val="bottom"/>
            <w:hideMark/>
          </w:tcPr>
          <w:p w14:paraId="5622D70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3958.2</w:t>
            </w:r>
          </w:p>
        </w:tc>
        <w:tc>
          <w:tcPr>
            <w:tcW w:w="560" w:type="dxa"/>
            <w:tcBorders>
              <w:top w:val="nil"/>
              <w:left w:val="nil"/>
              <w:bottom w:val="nil"/>
              <w:right w:val="nil"/>
            </w:tcBorders>
            <w:shd w:val="clear" w:color="auto" w:fill="auto"/>
            <w:noWrap/>
            <w:vAlign w:val="bottom"/>
            <w:hideMark/>
          </w:tcPr>
          <w:p w14:paraId="119FA9D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±3.7</w:t>
            </w:r>
          </w:p>
        </w:tc>
        <w:tc>
          <w:tcPr>
            <w:tcW w:w="860" w:type="dxa"/>
            <w:tcBorders>
              <w:top w:val="nil"/>
              <w:left w:val="nil"/>
              <w:bottom w:val="nil"/>
              <w:right w:val="nil"/>
            </w:tcBorders>
            <w:shd w:val="clear" w:color="auto" w:fill="auto"/>
            <w:noWrap/>
            <w:vAlign w:val="bottom"/>
            <w:hideMark/>
          </w:tcPr>
          <w:p w14:paraId="3544755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3.6593</w:t>
            </w:r>
          </w:p>
        </w:tc>
        <w:tc>
          <w:tcPr>
            <w:tcW w:w="860" w:type="dxa"/>
            <w:tcBorders>
              <w:top w:val="nil"/>
              <w:left w:val="nil"/>
              <w:bottom w:val="nil"/>
              <w:right w:val="nil"/>
            </w:tcBorders>
            <w:shd w:val="clear" w:color="auto" w:fill="auto"/>
            <w:noWrap/>
            <w:vAlign w:val="bottom"/>
            <w:hideMark/>
          </w:tcPr>
          <w:p w14:paraId="1E55DC87"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0.0058</w:t>
            </w:r>
          </w:p>
        </w:tc>
        <w:tc>
          <w:tcPr>
            <w:tcW w:w="800" w:type="dxa"/>
            <w:tcBorders>
              <w:top w:val="nil"/>
              <w:left w:val="nil"/>
              <w:bottom w:val="nil"/>
              <w:right w:val="nil"/>
            </w:tcBorders>
            <w:shd w:val="clear" w:color="auto" w:fill="auto"/>
            <w:noWrap/>
            <w:vAlign w:val="bottom"/>
            <w:hideMark/>
          </w:tcPr>
          <w:p w14:paraId="5EF9E5A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117197</w:t>
            </w:r>
          </w:p>
        </w:tc>
        <w:tc>
          <w:tcPr>
            <w:tcW w:w="700" w:type="dxa"/>
            <w:tcBorders>
              <w:top w:val="nil"/>
              <w:left w:val="nil"/>
              <w:bottom w:val="nil"/>
              <w:right w:val="nil"/>
            </w:tcBorders>
            <w:shd w:val="clear" w:color="auto" w:fill="auto"/>
            <w:noWrap/>
            <w:vAlign w:val="bottom"/>
            <w:hideMark/>
          </w:tcPr>
          <w:p w14:paraId="33ED3EB8"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±314</w:t>
            </w:r>
          </w:p>
        </w:tc>
        <w:tc>
          <w:tcPr>
            <w:tcW w:w="780" w:type="dxa"/>
            <w:tcBorders>
              <w:top w:val="nil"/>
              <w:left w:val="nil"/>
              <w:bottom w:val="nil"/>
              <w:right w:val="nil"/>
            </w:tcBorders>
            <w:shd w:val="clear" w:color="auto" w:fill="auto"/>
            <w:noWrap/>
            <w:vAlign w:val="bottom"/>
            <w:hideMark/>
          </w:tcPr>
          <w:p w14:paraId="2F8BF202"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117125</w:t>
            </w:r>
          </w:p>
        </w:tc>
        <w:tc>
          <w:tcPr>
            <w:tcW w:w="660" w:type="dxa"/>
            <w:tcBorders>
              <w:top w:val="nil"/>
              <w:left w:val="nil"/>
              <w:bottom w:val="nil"/>
              <w:right w:val="nil"/>
            </w:tcBorders>
            <w:shd w:val="clear" w:color="auto" w:fill="auto"/>
            <w:noWrap/>
            <w:vAlign w:val="bottom"/>
            <w:hideMark/>
          </w:tcPr>
          <w:p w14:paraId="26D0166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±314</w:t>
            </w:r>
          </w:p>
        </w:tc>
        <w:tc>
          <w:tcPr>
            <w:tcW w:w="680" w:type="dxa"/>
            <w:tcBorders>
              <w:top w:val="nil"/>
              <w:left w:val="nil"/>
              <w:bottom w:val="nil"/>
              <w:right w:val="nil"/>
            </w:tcBorders>
            <w:shd w:val="clear" w:color="auto" w:fill="auto"/>
            <w:noWrap/>
            <w:vAlign w:val="bottom"/>
            <w:hideMark/>
          </w:tcPr>
          <w:p w14:paraId="17F8924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5258</w:t>
            </w:r>
          </w:p>
        </w:tc>
        <w:tc>
          <w:tcPr>
            <w:tcW w:w="620" w:type="dxa"/>
            <w:tcBorders>
              <w:top w:val="nil"/>
              <w:left w:val="nil"/>
              <w:bottom w:val="nil"/>
              <w:right w:val="nil"/>
            </w:tcBorders>
            <w:shd w:val="clear" w:color="auto" w:fill="auto"/>
            <w:noWrap/>
            <w:vAlign w:val="bottom"/>
            <w:hideMark/>
          </w:tcPr>
          <w:p w14:paraId="360FDF3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w:t>
            </w:r>
          </w:p>
        </w:tc>
        <w:tc>
          <w:tcPr>
            <w:tcW w:w="740" w:type="dxa"/>
            <w:tcBorders>
              <w:top w:val="nil"/>
              <w:left w:val="nil"/>
              <w:bottom w:val="nil"/>
              <w:right w:val="nil"/>
            </w:tcBorders>
            <w:shd w:val="clear" w:color="auto" w:fill="auto"/>
            <w:noWrap/>
            <w:vAlign w:val="bottom"/>
            <w:hideMark/>
          </w:tcPr>
          <w:p w14:paraId="19F24640"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117065</w:t>
            </w:r>
          </w:p>
        </w:tc>
        <w:tc>
          <w:tcPr>
            <w:tcW w:w="1340" w:type="dxa"/>
            <w:tcBorders>
              <w:top w:val="nil"/>
              <w:left w:val="nil"/>
              <w:bottom w:val="nil"/>
              <w:right w:val="nil"/>
            </w:tcBorders>
            <w:shd w:val="clear" w:color="auto" w:fill="auto"/>
            <w:noWrap/>
            <w:vAlign w:val="bottom"/>
            <w:hideMark/>
          </w:tcPr>
          <w:p w14:paraId="7E7DCAD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±314</w:t>
            </w:r>
          </w:p>
        </w:tc>
      </w:tr>
      <w:tr w:rsidR="00BD5A3F" w:rsidRPr="00BD5A3F" w14:paraId="42221493" w14:textId="77777777" w:rsidTr="00BD5A3F">
        <w:trPr>
          <w:trHeight w:val="260"/>
        </w:trPr>
        <w:tc>
          <w:tcPr>
            <w:tcW w:w="1200" w:type="dxa"/>
            <w:tcBorders>
              <w:top w:val="nil"/>
              <w:left w:val="nil"/>
              <w:bottom w:val="nil"/>
              <w:right w:val="nil"/>
            </w:tcBorders>
            <w:shd w:val="clear" w:color="auto" w:fill="auto"/>
            <w:noWrap/>
            <w:vAlign w:val="bottom"/>
            <w:hideMark/>
          </w:tcPr>
          <w:p w14:paraId="2B420274"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80</w:t>
            </w:r>
          </w:p>
        </w:tc>
        <w:tc>
          <w:tcPr>
            <w:tcW w:w="620" w:type="dxa"/>
            <w:tcBorders>
              <w:top w:val="nil"/>
              <w:left w:val="nil"/>
              <w:bottom w:val="nil"/>
              <w:right w:val="nil"/>
            </w:tcBorders>
            <w:shd w:val="clear" w:color="auto" w:fill="auto"/>
            <w:noWrap/>
            <w:vAlign w:val="bottom"/>
            <w:hideMark/>
          </w:tcPr>
          <w:p w14:paraId="1E64F84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50.6</w:t>
            </w:r>
          </w:p>
        </w:tc>
        <w:tc>
          <w:tcPr>
            <w:tcW w:w="480" w:type="dxa"/>
            <w:tcBorders>
              <w:top w:val="nil"/>
              <w:left w:val="nil"/>
              <w:bottom w:val="nil"/>
              <w:right w:val="nil"/>
            </w:tcBorders>
            <w:shd w:val="clear" w:color="auto" w:fill="auto"/>
            <w:noWrap/>
            <w:vAlign w:val="bottom"/>
            <w:hideMark/>
          </w:tcPr>
          <w:p w14:paraId="22968BD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±0.1</w:t>
            </w:r>
          </w:p>
        </w:tc>
        <w:tc>
          <w:tcPr>
            <w:tcW w:w="660" w:type="dxa"/>
            <w:tcBorders>
              <w:top w:val="nil"/>
              <w:left w:val="nil"/>
              <w:bottom w:val="nil"/>
              <w:right w:val="nil"/>
            </w:tcBorders>
            <w:shd w:val="clear" w:color="auto" w:fill="auto"/>
            <w:noWrap/>
            <w:vAlign w:val="bottom"/>
            <w:hideMark/>
          </w:tcPr>
          <w:p w14:paraId="047FD090"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128</w:t>
            </w:r>
          </w:p>
        </w:tc>
        <w:tc>
          <w:tcPr>
            <w:tcW w:w="620" w:type="dxa"/>
            <w:tcBorders>
              <w:top w:val="nil"/>
              <w:left w:val="nil"/>
              <w:bottom w:val="nil"/>
              <w:right w:val="nil"/>
            </w:tcBorders>
            <w:shd w:val="clear" w:color="auto" w:fill="auto"/>
            <w:noWrap/>
            <w:vAlign w:val="bottom"/>
            <w:hideMark/>
          </w:tcPr>
          <w:p w14:paraId="3670D7C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w:t>
            </w:r>
          </w:p>
        </w:tc>
        <w:tc>
          <w:tcPr>
            <w:tcW w:w="760" w:type="dxa"/>
            <w:tcBorders>
              <w:top w:val="nil"/>
              <w:left w:val="nil"/>
              <w:bottom w:val="nil"/>
              <w:right w:val="nil"/>
            </w:tcBorders>
            <w:shd w:val="clear" w:color="auto" w:fill="auto"/>
            <w:noWrap/>
            <w:vAlign w:val="bottom"/>
            <w:hideMark/>
          </w:tcPr>
          <w:p w14:paraId="2213320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25978</w:t>
            </w:r>
          </w:p>
        </w:tc>
        <w:tc>
          <w:tcPr>
            <w:tcW w:w="900" w:type="dxa"/>
            <w:tcBorders>
              <w:top w:val="nil"/>
              <w:left w:val="nil"/>
              <w:bottom w:val="nil"/>
              <w:right w:val="nil"/>
            </w:tcBorders>
            <w:shd w:val="clear" w:color="auto" w:fill="auto"/>
            <w:noWrap/>
            <w:vAlign w:val="bottom"/>
            <w:hideMark/>
          </w:tcPr>
          <w:p w14:paraId="55741C7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±522</w:t>
            </w:r>
          </w:p>
        </w:tc>
        <w:tc>
          <w:tcPr>
            <w:tcW w:w="720" w:type="dxa"/>
            <w:tcBorders>
              <w:top w:val="nil"/>
              <w:left w:val="nil"/>
              <w:bottom w:val="nil"/>
              <w:right w:val="nil"/>
            </w:tcBorders>
            <w:shd w:val="clear" w:color="auto" w:fill="auto"/>
            <w:noWrap/>
            <w:vAlign w:val="bottom"/>
            <w:hideMark/>
          </w:tcPr>
          <w:p w14:paraId="6275428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4351.9</w:t>
            </w:r>
          </w:p>
        </w:tc>
        <w:tc>
          <w:tcPr>
            <w:tcW w:w="560" w:type="dxa"/>
            <w:tcBorders>
              <w:top w:val="nil"/>
              <w:left w:val="nil"/>
              <w:bottom w:val="nil"/>
              <w:right w:val="nil"/>
            </w:tcBorders>
            <w:shd w:val="clear" w:color="auto" w:fill="auto"/>
            <w:noWrap/>
            <w:vAlign w:val="bottom"/>
            <w:hideMark/>
          </w:tcPr>
          <w:p w14:paraId="4786C09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±4.2</w:t>
            </w:r>
          </w:p>
        </w:tc>
        <w:tc>
          <w:tcPr>
            <w:tcW w:w="860" w:type="dxa"/>
            <w:tcBorders>
              <w:top w:val="nil"/>
              <w:left w:val="nil"/>
              <w:bottom w:val="nil"/>
              <w:right w:val="nil"/>
            </w:tcBorders>
            <w:shd w:val="clear" w:color="auto" w:fill="auto"/>
            <w:noWrap/>
            <w:vAlign w:val="bottom"/>
            <w:hideMark/>
          </w:tcPr>
          <w:p w14:paraId="1798130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3.9865</w:t>
            </w:r>
          </w:p>
        </w:tc>
        <w:tc>
          <w:tcPr>
            <w:tcW w:w="860" w:type="dxa"/>
            <w:tcBorders>
              <w:top w:val="nil"/>
              <w:left w:val="nil"/>
              <w:bottom w:val="nil"/>
              <w:right w:val="nil"/>
            </w:tcBorders>
            <w:shd w:val="clear" w:color="auto" w:fill="auto"/>
            <w:noWrap/>
            <w:vAlign w:val="bottom"/>
            <w:hideMark/>
          </w:tcPr>
          <w:p w14:paraId="401E3AF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0.0056</w:t>
            </w:r>
          </w:p>
        </w:tc>
        <w:tc>
          <w:tcPr>
            <w:tcW w:w="800" w:type="dxa"/>
            <w:tcBorders>
              <w:top w:val="nil"/>
              <w:left w:val="nil"/>
              <w:bottom w:val="nil"/>
              <w:right w:val="nil"/>
            </w:tcBorders>
            <w:shd w:val="clear" w:color="auto" w:fill="auto"/>
            <w:noWrap/>
            <w:vAlign w:val="bottom"/>
            <w:hideMark/>
          </w:tcPr>
          <w:p w14:paraId="62C936F9"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118503</w:t>
            </w:r>
          </w:p>
        </w:tc>
        <w:tc>
          <w:tcPr>
            <w:tcW w:w="700" w:type="dxa"/>
            <w:tcBorders>
              <w:top w:val="nil"/>
              <w:left w:val="nil"/>
              <w:bottom w:val="nil"/>
              <w:right w:val="nil"/>
            </w:tcBorders>
            <w:shd w:val="clear" w:color="auto" w:fill="auto"/>
            <w:noWrap/>
            <w:vAlign w:val="bottom"/>
            <w:hideMark/>
          </w:tcPr>
          <w:p w14:paraId="5C4EEA7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±294</w:t>
            </w:r>
          </w:p>
        </w:tc>
        <w:tc>
          <w:tcPr>
            <w:tcW w:w="780" w:type="dxa"/>
            <w:tcBorders>
              <w:top w:val="nil"/>
              <w:left w:val="nil"/>
              <w:bottom w:val="nil"/>
              <w:right w:val="nil"/>
            </w:tcBorders>
            <w:shd w:val="clear" w:color="auto" w:fill="auto"/>
            <w:noWrap/>
            <w:vAlign w:val="bottom"/>
            <w:hideMark/>
          </w:tcPr>
          <w:p w14:paraId="5A85A24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118493</w:t>
            </w:r>
          </w:p>
        </w:tc>
        <w:tc>
          <w:tcPr>
            <w:tcW w:w="660" w:type="dxa"/>
            <w:tcBorders>
              <w:top w:val="nil"/>
              <w:left w:val="nil"/>
              <w:bottom w:val="nil"/>
              <w:right w:val="nil"/>
            </w:tcBorders>
            <w:shd w:val="clear" w:color="auto" w:fill="auto"/>
            <w:noWrap/>
            <w:vAlign w:val="bottom"/>
            <w:hideMark/>
          </w:tcPr>
          <w:p w14:paraId="53B08AB0"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±294</w:t>
            </w:r>
          </w:p>
        </w:tc>
        <w:tc>
          <w:tcPr>
            <w:tcW w:w="680" w:type="dxa"/>
            <w:tcBorders>
              <w:top w:val="nil"/>
              <w:left w:val="nil"/>
              <w:bottom w:val="nil"/>
              <w:right w:val="nil"/>
            </w:tcBorders>
            <w:shd w:val="clear" w:color="auto" w:fill="auto"/>
            <w:noWrap/>
            <w:vAlign w:val="bottom"/>
            <w:hideMark/>
          </w:tcPr>
          <w:p w14:paraId="36C5618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6080</w:t>
            </w:r>
          </w:p>
        </w:tc>
        <w:tc>
          <w:tcPr>
            <w:tcW w:w="620" w:type="dxa"/>
            <w:tcBorders>
              <w:top w:val="nil"/>
              <w:left w:val="nil"/>
              <w:bottom w:val="nil"/>
              <w:right w:val="nil"/>
            </w:tcBorders>
            <w:shd w:val="clear" w:color="auto" w:fill="auto"/>
            <w:noWrap/>
            <w:vAlign w:val="bottom"/>
            <w:hideMark/>
          </w:tcPr>
          <w:p w14:paraId="4D3C090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w:t>
            </w:r>
          </w:p>
        </w:tc>
        <w:tc>
          <w:tcPr>
            <w:tcW w:w="740" w:type="dxa"/>
            <w:tcBorders>
              <w:top w:val="nil"/>
              <w:left w:val="nil"/>
              <w:bottom w:val="nil"/>
              <w:right w:val="nil"/>
            </w:tcBorders>
            <w:shd w:val="clear" w:color="auto" w:fill="auto"/>
            <w:noWrap/>
            <w:vAlign w:val="bottom"/>
            <w:hideMark/>
          </w:tcPr>
          <w:p w14:paraId="133260B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118433</w:t>
            </w:r>
          </w:p>
        </w:tc>
        <w:tc>
          <w:tcPr>
            <w:tcW w:w="1340" w:type="dxa"/>
            <w:tcBorders>
              <w:top w:val="nil"/>
              <w:left w:val="nil"/>
              <w:bottom w:val="nil"/>
              <w:right w:val="nil"/>
            </w:tcBorders>
            <w:shd w:val="clear" w:color="auto" w:fill="auto"/>
            <w:noWrap/>
            <w:vAlign w:val="bottom"/>
            <w:hideMark/>
          </w:tcPr>
          <w:p w14:paraId="0EB49E1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±294</w:t>
            </w:r>
          </w:p>
        </w:tc>
      </w:tr>
      <w:tr w:rsidR="00BD5A3F" w:rsidRPr="00BD5A3F" w14:paraId="64469D8A" w14:textId="77777777" w:rsidTr="00BD5A3F">
        <w:trPr>
          <w:trHeight w:val="260"/>
        </w:trPr>
        <w:tc>
          <w:tcPr>
            <w:tcW w:w="1200" w:type="dxa"/>
            <w:tcBorders>
              <w:top w:val="nil"/>
              <w:left w:val="nil"/>
              <w:bottom w:val="nil"/>
              <w:right w:val="nil"/>
            </w:tcBorders>
            <w:shd w:val="clear" w:color="auto" w:fill="auto"/>
            <w:noWrap/>
            <w:vAlign w:val="bottom"/>
            <w:hideMark/>
          </w:tcPr>
          <w:p w14:paraId="307C3008"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105</w:t>
            </w:r>
          </w:p>
        </w:tc>
        <w:tc>
          <w:tcPr>
            <w:tcW w:w="620" w:type="dxa"/>
            <w:tcBorders>
              <w:top w:val="nil"/>
              <w:left w:val="nil"/>
              <w:bottom w:val="nil"/>
              <w:right w:val="nil"/>
            </w:tcBorders>
            <w:shd w:val="clear" w:color="auto" w:fill="auto"/>
            <w:noWrap/>
            <w:vAlign w:val="bottom"/>
            <w:hideMark/>
          </w:tcPr>
          <w:p w14:paraId="274B7A9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612.5</w:t>
            </w:r>
          </w:p>
        </w:tc>
        <w:tc>
          <w:tcPr>
            <w:tcW w:w="480" w:type="dxa"/>
            <w:tcBorders>
              <w:top w:val="nil"/>
              <w:left w:val="nil"/>
              <w:bottom w:val="nil"/>
              <w:right w:val="nil"/>
            </w:tcBorders>
            <w:shd w:val="clear" w:color="auto" w:fill="auto"/>
            <w:noWrap/>
            <w:vAlign w:val="bottom"/>
            <w:hideMark/>
          </w:tcPr>
          <w:p w14:paraId="15AA20D0"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±0.7</w:t>
            </w:r>
          </w:p>
        </w:tc>
        <w:tc>
          <w:tcPr>
            <w:tcW w:w="660" w:type="dxa"/>
            <w:tcBorders>
              <w:top w:val="nil"/>
              <w:left w:val="nil"/>
              <w:bottom w:val="nil"/>
              <w:right w:val="nil"/>
            </w:tcBorders>
            <w:shd w:val="clear" w:color="auto" w:fill="auto"/>
            <w:noWrap/>
            <w:vAlign w:val="bottom"/>
            <w:hideMark/>
          </w:tcPr>
          <w:p w14:paraId="3AB9830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48</w:t>
            </w:r>
          </w:p>
        </w:tc>
        <w:tc>
          <w:tcPr>
            <w:tcW w:w="620" w:type="dxa"/>
            <w:tcBorders>
              <w:top w:val="nil"/>
              <w:left w:val="nil"/>
              <w:bottom w:val="nil"/>
              <w:right w:val="nil"/>
            </w:tcBorders>
            <w:shd w:val="clear" w:color="auto" w:fill="auto"/>
            <w:noWrap/>
            <w:vAlign w:val="bottom"/>
            <w:hideMark/>
          </w:tcPr>
          <w:p w14:paraId="79E3CD7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w:t>
            </w:r>
          </w:p>
        </w:tc>
        <w:tc>
          <w:tcPr>
            <w:tcW w:w="760" w:type="dxa"/>
            <w:tcBorders>
              <w:top w:val="nil"/>
              <w:left w:val="nil"/>
              <w:bottom w:val="nil"/>
              <w:right w:val="nil"/>
            </w:tcBorders>
            <w:shd w:val="clear" w:color="auto" w:fill="auto"/>
            <w:noWrap/>
            <w:vAlign w:val="bottom"/>
            <w:hideMark/>
          </w:tcPr>
          <w:p w14:paraId="334D99E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828184</w:t>
            </w:r>
          </w:p>
        </w:tc>
        <w:tc>
          <w:tcPr>
            <w:tcW w:w="900" w:type="dxa"/>
            <w:tcBorders>
              <w:top w:val="nil"/>
              <w:left w:val="nil"/>
              <w:bottom w:val="nil"/>
              <w:right w:val="nil"/>
            </w:tcBorders>
            <w:shd w:val="clear" w:color="auto" w:fill="auto"/>
            <w:noWrap/>
            <w:vAlign w:val="bottom"/>
            <w:hideMark/>
          </w:tcPr>
          <w:p w14:paraId="431721B1"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±26136</w:t>
            </w:r>
          </w:p>
        </w:tc>
        <w:tc>
          <w:tcPr>
            <w:tcW w:w="720" w:type="dxa"/>
            <w:tcBorders>
              <w:top w:val="nil"/>
              <w:left w:val="nil"/>
              <w:bottom w:val="nil"/>
              <w:right w:val="nil"/>
            </w:tcBorders>
            <w:shd w:val="clear" w:color="auto" w:fill="auto"/>
            <w:noWrap/>
            <w:vAlign w:val="bottom"/>
            <w:hideMark/>
          </w:tcPr>
          <w:p w14:paraId="69746228"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4324</w:t>
            </w:r>
          </w:p>
        </w:tc>
        <w:tc>
          <w:tcPr>
            <w:tcW w:w="560" w:type="dxa"/>
            <w:tcBorders>
              <w:top w:val="nil"/>
              <w:left w:val="nil"/>
              <w:bottom w:val="nil"/>
              <w:right w:val="nil"/>
            </w:tcBorders>
            <w:shd w:val="clear" w:color="auto" w:fill="auto"/>
            <w:noWrap/>
            <w:vAlign w:val="bottom"/>
            <w:hideMark/>
          </w:tcPr>
          <w:p w14:paraId="30E6971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w:t>
            </w:r>
          </w:p>
        </w:tc>
        <w:tc>
          <w:tcPr>
            <w:tcW w:w="860" w:type="dxa"/>
            <w:tcBorders>
              <w:top w:val="nil"/>
              <w:left w:val="nil"/>
              <w:bottom w:val="nil"/>
              <w:right w:val="nil"/>
            </w:tcBorders>
            <w:shd w:val="clear" w:color="auto" w:fill="auto"/>
            <w:noWrap/>
            <w:vAlign w:val="bottom"/>
            <w:hideMark/>
          </w:tcPr>
          <w:p w14:paraId="193EF8D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3.9716</w:t>
            </w:r>
          </w:p>
        </w:tc>
        <w:tc>
          <w:tcPr>
            <w:tcW w:w="860" w:type="dxa"/>
            <w:tcBorders>
              <w:top w:val="nil"/>
              <w:left w:val="nil"/>
              <w:bottom w:val="nil"/>
              <w:right w:val="nil"/>
            </w:tcBorders>
            <w:shd w:val="clear" w:color="auto" w:fill="auto"/>
            <w:noWrap/>
            <w:vAlign w:val="bottom"/>
            <w:hideMark/>
          </w:tcPr>
          <w:p w14:paraId="1FDC2AE4"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0.0060</w:t>
            </w:r>
          </w:p>
        </w:tc>
        <w:tc>
          <w:tcPr>
            <w:tcW w:w="800" w:type="dxa"/>
            <w:tcBorders>
              <w:top w:val="nil"/>
              <w:left w:val="nil"/>
              <w:bottom w:val="nil"/>
              <w:right w:val="nil"/>
            </w:tcBorders>
            <w:shd w:val="clear" w:color="auto" w:fill="auto"/>
            <w:noWrap/>
            <w:vAlign w:val="bottom"/>
            <w:hideMark/>
          </w:tcPr>
          <w:p w14:paraId="5C6632C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118803</w:t>
            </w:r>
          </w:p>
        </w:tc>
        <w:tc>
          <w:tcPr>
            <w:tcW w:w="700" w:type="dxa"/>
            <w:tcBorders>
              <w:top w:val="nil"/>
              <w:left w:val="nil"/>
              <w:bottom w:val="nil"/>
              <w:right w:val="nil"/>
            </w:tcBorders>
            <w:shd w:val="clear" w:color="auto" w:fill="auto"/>
            <w:noWrap/>
            <w:vAlign w:val="bottom"/>
            <w:hideMark/>
          </w:tcPr>
          <w:p w14:paraId="57B82210"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±305</w:t>
            </w:r>
          </w:p>
        </w:tc>
        <w:tc>
          <w:tcPr>
            <w:tcW w:w="780" w:type="dxa"/>
            <w:tcBorders>
              <w:top w:val="nil"/>
              <w:left w:val="nil"/>
              <w:bottom w:val="nil"/>
              <w:right w:val="nil"/>
            </w:tcBorders>
            <w:shd w:val="clear" w:color="auto" w:fill="auto"/>
            <w:noWrap/>
            <w:vAlign w:val="bottom"/>
            <w:hideMark/>
          </w:tcPr>
          <w:p w14:paraId="4DFFAB1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118802</w:t>
            </w:r>
          </w:p>
        </w:tc>
        <w:tc>
          <w:tcPr>
            <w:tcW w:w="660" w:type="dxa"/>
            <w:tcBorders>
              <w:top w:val="nil"/>
              <w:left w:val="nil"/>
              <w:bottom w:val="nil"/>
              <w:right w:val="nil"/>
            </w:tcBorders>
            <w:shd w:val="clear" w:color="auto" w:fill="auto"/>
            <w:noWrap/>
            <w:vAlign w:val="bottom"/>
            <w:hideMark/>
          </w:tcPr>
          <w:p w14:paraId="64542F34"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±424</w:t>
            </w:r>
          </w:p>
        </w:tc>
        <w:tc>
          <w:tcPr>
            <w:tcW w:w="680" w:type="dxa"/>
            <w:tcBorders>
              <w:top w:val="nil"/>
              <w:left w:val="nil"/>
              <w:bottom w:val="nil"/>
              <w:right w:val="nil"/>
            </w:tcBorders>
            <w:shd w:val="clear" w:color="auto" w:fill="auto"/>
            <w:noWrap/>
            <w:vAlign w:val="bottom"/>
            <w:hideMark/>
          </w:tcPr>
          <w:p w14:paraId="0CA3DC8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6046</w:t>
            </w:r>
          </w:p>
        </w:tc>
        <w:tc>
          <w:tcPr>
            <w:tcW w:w="620" w:type="dxa"/>
            <w:tcBorders>
              <w:top w:val="nil"/>
              <w:left w:val="nil"/>
              <w:bottom w:val="nil"/>
              <w:right w:val="nil"/>
            </w:tcBorders>
            <w:shd w:val="clear" w:color="auto" w:fill="auto"/>
            <w:noWrap/>
            <w:vAlign w:val="bottom"/>
            <w:hideMark/>
          </w:tcPr>
          <w:p w14:paraId="054FB31C"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±7</w:t>
            </w:r>
          </w:p>
        </w:tc>
        <w:tc>
          <w:tcPr>
            <w:tcW w:w="740" w:type="dxa"/>
            <w:tcBorders>
              <w:top w:val="nil"/>
              <w:left w:val="nil"/>
              <w:bottom w:val="nil"/>
              <w:right w:val="nil"/>
            </w:tcBorders>
            <w:shd w:val="clear" w:color="auto" w:fill="auto"/>
            <w:noWrap/>
            <w:vAlign w:val="bottom"/>
            <w:hideMark/>
          </w:tcPr>
          <w:p w14:paraId="5D96F60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118740</w:t>
            </w:r>
          </w:p>
        </w:tc>
        <w:tc>
          <w:tcPr>
            <w:tcW w:w="1340" w:type="dxa"/>
            <w:tcBorders>
              <w:top w:val="nil"/>
              <w:left w:val="nil"/>
              <w:bottom w:val="nil"/>
              <w:right w:val="nil"/>
            </w:tcBorders>
            <w:shd w:val="clear" w:color="auto" w:fill="auto"/>
            <w:noWrap/>
            <w:vAlign w:val="bottom"/>
            <w:hideMark/>
          </w:tcPr>
          <w:p w14:paraId="0368BDD1"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±424</w:t>
            </w:r>
          </w:p>
        </w:tc>
      </w:tr>
      <w:tr w:rsidR="00BD5A3F" w:rsidRPr="00BD5A3F" w14:paraId="708AB4E3" w14:textId="77777777" w:rsidTr="00BD5A3F">
        <w:trPr>
          <w:trHeight w:val="260"/>
        </w:trPr>
        <w:tc>
          <w:tcPr>
            <w:tcW w:w="1200" w:type="dxa"/>
            <w:tcBorders>
              <w:top w:val="nil"/>
              <w:left w:val="nil"/>
              <w:bottom w:val="nil"/>
              <w:right w:val="nil"/>
            </w:tcBorders>
            <w:shd w:val="clear" w:color="auto" w:fill="auto"/>
            <w:noWrap/>
            <w:vAlign w:val="bottom"/>
            <w:hideMark/>
          </w:tcPr>
          <w:p w14:paraId="0416B431"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144</w:t>
            </w:r>
          </w:p>
        </w:tc>
        <w:tc>
          <w:tcPr>
            <w:tcW w:w="620" w:type="dxa"/>
            <w:tcBorders>
              <w:top w:val="nil"/>
              <w:left w:val="nil"/>
              <w:bottom w:val="nil"/>
              <w:right w:val="nil"/>
            </w:tcBorders>
            <w:shd w:val="clear" w:color="auto" w:fill="auto"/>
            <w:noWrap/>
            <w:vAlign w:val="bottom"/>
            <w:hideMark/>
          </w:tcPr>
          <w:p w14:paraId="760B7558"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404.5</w:t>
            </w:r>
          </w:p>
        </w:tc>
        <w:tc>
          <w:tcPr>
            <w:tcW w:w="480" w:type="dxa"/>
            <w:tcBorders>
              <w:top w:val="nil"/>
              <w:left w:val="nil"/>
              <w:bottom w:val="nil"/>
              <w:right w:val="nil"/>
            </w:tcBorders>
            <w:shd w:val="clear" w:color="auto" w:fill="auto"/>
            <w:noWrap/>
            <w:vAlign w:val="bottom"/>
            <w:hideMark/>
          </w:tcPr>
          <w:p w14:paraId="30A19DF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±0.5</w:t>
            </w:r>
          </w:p>
        </w:tc>
        <w:tc>
          <w:tcPr>
            <w:tcW w:w="660" w:type="dxa"/>
            <w:tcBorders>
              <w:top w:val="nil"/>
              <w:left w:val="nil"/>
              <w:bottom w:val="nil"/>
              <w:right w:val="nil"/>
            </w:tcBorders>
            <w:shd w:val="clear" w:color="auto" w:fill="auto"/>
            <w:noWrap/>
            <w:vAlign w:val="bottom"/>
            <w:hideMark/>
          </w:tcPr>
          <w:p w14:paraId="4336D7D7"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1658</w:t>
            </w:r>
          </w:p>
        </w:tc>
        <w:tc>
          <w:tcPr>
            <w:tcW w:w="620" w:type="dxa"/>
            <w:tcBorders>
              <w:top w:val="nil"/>
              <w:left w:val="nil"/>
              <w:bottom w:val="nil"/>
              <w:right w:val="nil"/>
            </w:tcBorders>
            <w:shd w:val="clear" w:color="auto" w:fill="auto"/>
            <w:noWrap/>
            <w:vAlign w:val="bottom"/>
            <w:hideMark/>
          </w:tcPr>
          <w:p w14:paraId="2A03204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±33</w:t>
            </w:r>
          </w:p>
        </w:tc>
        <w:tc>
          <w:tcPr>
            <w:tcW w:w="760" w:type="dxa"/>
            <w:tcBorders>
              <w:top w:val="nil"/>
              <w:left w:val="nil"/>
              <w:bottom w:val="nil"/>
              <w:right w:val="nil"/>
            </w:tcBorders>
            <w:shd w:val="clear" w:color="auto" w:fill="auto"/>
            <w:noWrap/>
            <w:vAlign w:val="bottom"/>
            <w:hideMark/>
          </w:tcPr>
          <w:p w14:paraId="54FA477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15959</w:t>
            </w:r>
          </w:p>
        </w:tc>
        <w:tc>
          <w:tcPr>
            <w:tcW w:w="900" w:type="dxa"/>
            <w:tcBorders>
              <w:top w:val="nil"/>
              <w:left w:val="nil"/>
              <w:bottom w:val="nil"/>
              <w:right w:val="nil"/>
            </w:tcBorders>
            <w:shd w:val="clear" w:color="auto" w:fill="auto"/>
            <w:noWrap/>
            <w:vAlign w:val="bottom"/>
            <w:hideMark/>
          </w:tcPr>
          <w:p w14:paraId="2093995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±320</w:t>
            </w:r>
          </w:p>
        </w:tc>
        <w:tc>
          <w:tcPr>
            <w:tcW w:w="720" w:type="dxa"/>
            <w:tcBorders>
              <w:top w:val="nil"/>
              <w:left w:val="nil"/>
              <w:bottom w:val="nil"/>
              <w:right w:val="nil"/>
            </w:tcBorders>
            <w:shd w:val="clear" w:color="auto" w:fill="auto"/>
            <w:noWrap/>
            <w:vAlign w:val="bottom"/>
            <w:hideMark/>
          </w:tcPr>
          <w:p w14:paraId="596F3A0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4306</w:t>
            </w:r>
          </w:p>
        </w:tc>
        <w:tc>
          <w:tcPr>
            <w:tcW w:w="560" w:type="dxa"/>
            <w:tcBorders>
              <w:top w:val="nil"/>
              <w:left w:val="nil"/>
              <w:bottom w:val="nil"/>
              <w:right w:val="nil"/>
            </w:tcBorders>
            <w:shd w:val="clear" w:color="auto" w:fill="auto"/>
            <w:noWrap/>
            <w:vAlign w:val="bottom"/>
            <w:hideMark/>
          </w:tcPr>
          <w:p w14:paraId="1B1330E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w:t>
            </w:r>
          </w:p>
        </w:tc>
        <w:tc>
          <w:tcPr>
            <w:tcW w:w="860" w:type="dxa"/>
            <w:tcBorders>
              <w:top w:val="nil"/>
              <w:left w:val="nil"/>
              <w:bottom w:val="nil"/>
              <w:right w:val="nil"/>
            </w:tcBorders>
            <w:shd w:val="clear" w:color="auto" w:fill="auto"/>
            <w:noWrap/>
            <w:vAlign w:val="bottom"/>
            <w:hideMark/>
          </w:tcPr>
          <w:p w14:paraId="4A481DD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3.9679</w:t>
            </w:r>
          </w:p>
        </w:tc>
        <w:tc>
          <w:tcPr>
            <w:tcW w:w="860" w:type="dxa"/>
            <w:tcBorders>
              <w:top w:val="nil"/>
              <w:left w:val="nil"/>
              <w:bottom w:val="nil"/>
              <w:right w:val="nil"/>
            </w:tcBorders>
            <w:shd w:val="clear" w:color="auto" w:fill="auto"/>
            <w:noWrap/>
            <w:vAlign w:val="bottom"/>
            <w:hideMark/>
          </w:tcPr>
          <w:p w14:paraId="4BAE31C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0.0060</w:t>
            </w:r>
          </w:p>
        </w:tc>
        <w:tc>
          <w:tcPr>
            <w:tcW w:w="800" w:type="dxa"/>
            <w:tcBorders>
              <w:top w:val="nil"/>
              <w:left w:val="nil"/>
              <w:bottom w:val="nil"/>
              <w:right w:val="nil"/>
            </w:tcBorders>
            <w:shd w:val="clear" w:color="auto" w:fill="auto"/>
            <w:noWrap/>
            <w:vAlign w:val="bottom"/>
            <w:hideMark/>
          </w:tcPr>
          <w:p w14:paraId="74B86340"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119264</w:t>
            </w:r>
          </w:p>
        </w:tc>
        <w:tc>
          <w:tcPr>
            <w:tcW w:w="700" w:type="dxa"/>
            <w:tcBorders>
              <w:top w:val="nil"/>
              <w:left w:val="nil"/>
              <w:bottom w:val="nil"/>
              <w:right w:val="nil"/>
            </w:tcBorders>
            <w:shd w:val="clear" w:color="auto" w:fill="auto"/>
            <w:noWrap/>
            <w:vAlign w:val="bottom"/>
            <w:hideMark/>
          </w:tcPr>
          <w:p w14:paraId="60C484C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±325</w:t>
            </w:r>
          </w:p>
        </w:tc>
        <w:tc>
          <w:tcPr>
            <w:tcW w:w="780" w:type="dxa"/>
            <w:tcBorders>
              <w:top w:val="nil"/>
              <w:left w:val="nil"/>
              <w:bottom w:val="nil"/>
              <w:right w:val="nil"/>
            </w:tcBorders>
            <w:shd w:val="clear" w:color="auto" w:fill="auto"/>
            <w:noWrap/>
            <w:vAlign w:val="bottom"/>
            <w:hideMark/>
          </w:tcPr>
          <w:p w14:paraId="6E26FAA5"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119247</w:t>
            </w:r>
          </w:p>
        </w:tc>
        <w:tc>
          <w:tcPr>
            <w:tcW w:w="660" w:type="dxa"/>
            <w:tcBorders>
              <w:top w:val="nil"/>
              <w:left w:val="nil"/>
              <w:bottom w:val="nil"/>
              <w:right w:val="nil"/>
            </w:tcBorders>
            <w:shd w:val="clear" w:color="auto" w:fill="auto"/>
            <w:noWrap/>
            <w:vAlign w:val="bottom"/>
            <w:hideMark/>
          </w:tcPr>
          <w:p w14:paraId="686A6DCC"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±325</w:t>
            </w:r>
          </w:p>
        </w:tc>
        <w:tc>
          <w:tcPr>
            <w:tcW w:w="680" w:type="dxa"/>
            <w:tcBorders>
              <w:top w:val="nil"/>
              <w:left w:val="nil"/>
              <w:bottom w:val="nil"/>
              <w:right w:val="nil"/>
            </w:tcBorders>
            <w:shd w:val="clear" w:color="auto" w:fill="auto"/>
            <w:noWrap/>
            <w:vAlign w:val="bottom"/>
            <w:hideMark/>
          </w:tcPr>
          <w:p w14:paraId="56030DA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6029</w:t>
            </w:r>
          </w:p>
        </w:tc>
        <w:tc>
          <w:tcPr>
            <w:tcW w:w="620" w:type="dxa"/>
            <w:tcBorders>
              <w:top w:val="nil"/>
              <w:left w:val="nil"/>
              <w:bottom w:val="nil"/>
              <w:right w:val="nil"/>
            </w:tcBorders>
            <w:shd w:val="clear" w:color="auto" w:fill="auto"/>
            <w:noWrap/>
            <w:vAlign w:val="bottom"/>
            <w:hideMark/>
          </w:tcPr>
          <w:p w14:paraId="4E2F20F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±9</w:t>
            </w:r>
          </w:p>
        </w:tc>
        <w:tc>
          <w:tcPr>
            <w:tcW w:w="740" w:type="dxa"/>
            <w:tcBorders>
              <w:top w:val="nil"/>
              <w:left w:val="nil"/>
              <w:bottom w:val="nil"/>
              <w:right w:val="nil"/>
            </w:tcBorders>
            <w:shd w:val="clear" w:color="auto" w:fill="auto"/>
            <w:noWrap/>
            <w:vAlign w:val="bottom"/>
            <w:hideMark/>
          </w:tcPr>
          <w:p w14:paraId="010FD1F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119187</w:t>
            </w:r>
          </w:p>
        </w:tc>
        <w:tc>
          <w:tcPr>
            <w:tcW w:w="1340" w:type="dxa"/>
            <w:tcBorders>
              <w:top w:val="nil"/>
              <w:left w:val="nil"/>
              <w:bottom w:val="nil"/>
              <w:right w:val="nil"/>
            </w:tcBorders>
            <w:shd w:val="clear" w:color="auto" w:fill="auto"/>
            <w:noWrap/>
            <w:vAlign w:val="bottom"/>
            <w:hideMark/>
          </w:tcPr>
          <w:p w14:paraId="56F783D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±325</w:t>
            </w:r>
          </w:p>
        </w:tc>
      </w:tr>
      <w:tr w:rsidR="00BD5A3F" w:rsidRPr="00BD5A3F" w14:paraId="3A031AD6" w14:textId="77777777" w:rsidTr="00BD5A3F">
        <w:trPr>
          <w:trHeight w:val="260"/>
        </w:trPr>
        <w:tc>
          <w:tcPr>
            <w:tcW w:w="1200" w:type="dxa"/>
            <w:tcBorders>
              <w:top w:val="nil"/>
              <w:left w:val="nil"/>
              <w:bottom w:val="nil"/>
              <w:right w:val="nil"/>
            </w:tcBorders>
            <w:shd w:val="clear" w:color="auto" w:fill="auto"/>
            <w:noWrap/>
            <w:vAlign w:val="bottom"/>
            <w:hideMark/>
          </w:tcPr>
          <w:p w14:paraId="144A5A95"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194</w:t>
            </w:r>
          </w:p>
        </w:tc>
        <w:tc>
          <w:tcPr>
            <w:tcW w:w="620" w:type="dxa"/>
            <w:tcBorders>
              <w:top w:val="nil"/>
              <w:left w:val="nil"/>
              <w:bottom w:val="nil"/>
              <w:right w:val="nil"/>
            </w:tcBorders>
            <w:shd w:val="clear" w:color="auto" w:fill="auto"/>
            <w:noWrap/>
            <w:vAlign w:val="bottom"/>
            <w:hideMark/>
          </w:tcPr>
          <w:p w14:paraId="0381D22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487.2</w:t>
            </w:r>
          </w:p>
        </w:tc>
        <w:tc>
          <w:tcPr>
            <w:tcW w:w="480" w:type="dxa"/>
            <w:tcBorders>
              <w:top w:val="nil"/>
              <w:left w:val="nil"/>
              <w:bottom w:val="nil"/>
              <w:right w:val="nil"/>
            </w:tcBorders>
            <w:shd w:val="clear" w:color="auto" w:fill="auto"/>
            <w:noWrap/>
            <w:vAlign w:val="bottom"/>
            <w:hideMark/>
          </w:tcPr>
          <w:p w14:paraId="26691690"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±0.6</w:t>
            </w:r>
          </w:p>
        </w:tc>
        <w:tc>
          <w:tcPr>
            <w:tcW w:w="660" w:type="dxa"/>
            <w:tcBorders>
              <w:top w:val="nil"/>
              <w:left w:val="nil"/>
              <w:bottom w:val="nil"/>
              <w:right w:val="nil"/>
            </w:tcBorders>
            <w:shd w:val="clear" w:color="auto" w:fill="auto"/>
            <w:noWrap/>
            <w:vAlign w:val="bottom"/>
            <w:hideMark/>
          </w:tcPr>
          <w:p w14:paraId="289362B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2128</w:t>
            </w:r>
          </w:p>
        </w:tc>
        <w:tc>
          <w:tcPr>
            <w:tcW w:w="620" w:type="dxa"/>
            <w:tcBorders>
              <w:top w:val="nil"/>
              <w:left w:val="nil"/>
              <w:bottom w:val="nil"/>
              <w:right w:val="nil"/>
            </w:tcBorders>
            <w:shd w:val="clear" w:color="auto" w:fill="auto"/>
            <w:noWrap/>
            <w:vAlign w:val="bottom"/>
            <w:hideMark/>
          </w:tcPr>
          <w:p w14:paraId="393EB623"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w:t>
            </w:r>
          </w:p>
        </w:tc>
        <w:tc>
          <w:tcPr>
            <w:tcW w:w="760" w:type="dxa"/>
            <w:tcBorders>
              <w:top w:val="nil"/>
              <w:left w:val="nil"/>
              <w:bottom w:val="nil"/>
              <w:right w:val="nil"/>
            </w:tcBorders>
            <w:shd w:val="clear" w:color="auto" w:fill="auto"/>
            <w:noWrap/>
            <w:vAlign w:val="bottom"/>
            <w:hideMark/>
          </w:tcPr>
          <w:p w14:paraId="35DE244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14944</w:t>
            </w:r>
          </w:p>
        </w:tc>
        <w:tc>
          <w:tcPr>
            <w:tcW w:w="900" w:type="dxa"/>
            <w:tcBorders>
              <w:top w:val="nil"/>
              <w:left w:val="nil"/>
              <w:bottom w:val="nil"/>
              <w:right w:val="nil"/>
            </w:tcBorders>
            <w:shd w:val="clear" w:color="auto" w:fill="auto"/>
            <w:noWrap/>
            <w:vAlign w:val="bottom"/>
            <w:hideMark/>
          </w:tcPr>
          <w:p w14:paraId="262256D1"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±300</w:t>
            </w:r>
          </w:p>
        </w:tc>
        <w:tc>
          <w:tcPr>
            <w:tcW w:w="720" w:type="dxa"/>
            <w:tcBorders>
              <w:top w:val="nil"/>
              <w:left w:val="nil"/>
              <w:bottom w:val="nil"/>
              <w:right w:val="nil"/>
            </w:tcBorders>
            <w:shd w:val="clear" w:color="auto" w:fill="auto"/>
            <w:noWrap/>
            <w:vAlign w:val="bottom"/>
            <w:hideMark/>
          </w:tcPr>
          <w:p w14:paraId="0E694B0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4260.8</w:t>
            </w:r>
          </w:p>
        </w:tc>
        <w:tc>
          <w:tcPr>
            <w:tcW w:w="560" w:type="dxa"/>
            <w:tcBorders>
              <w:top w:val="nil"/>
              <w:left w:val="nil"/>
              <w:bottom w:val="nil"/>
              <w:right w:val="nil"/>
            </w:tcBorders>
            <w:shd w:val="clear" w:color="auto" w:fill="auto"/>
            <w:noWrap/>
            <w:vAlign w:val="bottom"/>
            <w:hideMark/>
          </w:tcPr>
          <w:p w14:paraId="7870CAE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w:t>
            </w:r>
          </w:p>
        </w:tc>
        <w:tc>
          <w:tcPr>
            <w:tcW w:w="860" w:type="dxa"/>
            <w:tcBorders>
              <w:top w:val="nil"/>
              <w:left w:val="nil"/>
              <w:bottom w:val="nil"/>
              <w:right w:val="nil"/>
            </w:tcBorders>
            <w:shd w:val="clear" w:color="auto" w:fill="auto"/>
            <w:noWrap/>
            <w:vAlign w:val="bottom"/>
            <w:hideMark/>
          </w:tcPr>
          <w:p w14:paraId="1A24B498"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3.9600</w:t>
            </w:r>
          </w:p>
        </w:tc>
        <w:tc>
          <w:tcPr>
            <w:tcW w:w="860" w:type="dxa"/>
            <w:tcBorders>
              <w:top w:val="nil"/>
              <w:left w:val="nil"/>
              <w:bottom w:val="nil"/>
              <w:right w:val="nil"/>
            </w:tcBorders>
            <w:shd w:val="clear" w:color="auto" w:fill="auto"/>
            <w:noWrap/>
            <w:vAlign w:val="bottom"/>
            <w:hideMark/>
          </w:tcPr>
          <w:p w14:paraId="0D30F95F"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0.0057</w:t>
            </w:r>
          </w:p>
        </w:tc>
        <w:tc>
          <w:tcPr>
            <w:tcW w:w="800" w:type="dxa"/>
            <w:tcBorders>
              <w:top w:val="nil"/>
              <w:left w:val="nil"/>
              <w:bottom w:val="nil"/>
              <w:right w:val="nil"/>
            </w:tcBorders>
            <w:shd w:val="clear" w:color="auto" w:fill="auto"/>
            <w:noWrap/>
            <w:vAlign w:val="bottom"/>
            <w:hideMark/>
          </w:tcPr>
          <w:p w14:paraId="2ADB764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120519</w:t>
            </w:r>
          </w:p>
        </w:tc>
        <w:tc>
          <w:tcPr>
            <w:tcW w:w="700" w:type="dxa"/>
            <w:tcBorders>
              <w:top w:val="nil"/>
              <w:left w:val="nil"/>
              <w:bottom w:val="nil"/>
              <w:right w:val="nil"/>
            </w:tcBorders>
            <w:shd w:val="clear" w:color="auto" w:fill="auto"/>
            <w:noWrap/>
            <w:vAlign w:val="bottom"/>
            <w:hideMark/>
          </w:tcPr>
          <w:p w14:paraId="405611B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±311</w:t>
            </w:r>
          </w:p>
        </w:tc>
        <w:tc>
          <w:tcPr>
            <w:tcW w:w="780" w:type="dxa"/>
            <w:tcBorders>
              <w:top w:val="nil"/>
              <w:left w:val="nil"/>
              <w:bottom w:val="nil"/>
              <w:right w:val="nil"/>
            </w:tcBorders>
            <w:shd w:val="clear" w:color="auto" w:fill="auto"/>
            <w:noWrap/>
            <w:vAlign w:val="bottom"/>
            <w:hideMark/>
          </w:tcPr>
          <w:p w14:paraId="40F22D4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120500</w:t>
            </w:r>
          </w:p>
        </w:tc>
        <w:tc>
          <w:tcPr>
            <w:tcW w:w="660" w:type="dxa"/>
            <w:tcBorders>
              <w:top w:val="nil"/>
              <w:left w:val="nil"/>
              <w:bottom w:val="nil"/>
              <w:right w:val="nil"/>
            </w:tcBorders>
            <w:shd w:val="clear" w:color="auto" w:fill="auto"/>
            <w:noWrap/>
            <w:vAlign w:val="bottom"/>
            <w:hideMark/>
          </w:tcPr>
          <w:p w14:paraId="25BF3B6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±311</w:t>
            </w:r>
          </w:p>
        </w:tc>
        <w:tc>
          <w:tcPr>
            <w:tcW w:w="680" w:type="dxa"/>
            <w:tcBorders>
              <w:top w:val="nil"/>
              <w:left w:val="nil"/>
              <w:bottom w:val="nil"/>
              <w:right w:val="nil"/>
            </w:tcBorders>
            <w:shd w:val="clear" w:color="auto" w:fill="auto"/>
            <w:noWrap/>
            <w:vAlign w:val="bottom"/>
            <w:hideMark/>
          </w:tcPr>
          <w:p w14:paraId="3455E27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5987</w:t>
            </w:r>
          </w:p>
        </w:tc>
        <w:tc>
          <w:tcPr>
            <w:tcW w:w="620" w:type="dxa"/>
            <w:tcBorders>
              <w:top w:val="nil"/>
              <w:left w:val="nil"/>
              <w:bottom w:val="nil"/>
              <w:right w:val="nil"/>
            </w:tcBorders>
            <w:shd w:val="clear" w:color="auto" w:fill="auto"/>
            <w:noWrap/>
            <w:vAlign w:val="bottom"/>
            <w:hideMark/>
          </w:tcPr>
          <w:p w14:paraId="5DDE9E9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w:t>
            </w:r>
          </w:p>
        </w:tc>
        <w:tc>
          <w:tcPr>
            <w:tcW w:w="740" w:type="dxa"/>
            <w:tcBorders>
              <w:top w:val="nil"/>
              <w:left w:val="nil"/>
              <w:bottom w:val="nil"/>
              <w:right w:val="nil"/>
            </w:tcBorders>
            <w:shd w:val="clear" w:color="auto" w:fill="auto"/>
            <w:noWrap/>
            <w:vAlign w:val="bottom"/>
            <w:hideMark/>
          </w:tcPr>
          <w:p w14:paraId="4077D8A2"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120440</w:t>
            </w:r>
          </w:p>
        </w:tc>
        <w:tc>
          <w:tcPr>
            <w:tcW w:w="1340" w:type="dxa"/>
            <w:tcBorders>
              <w:top w:val="nil"/>
              <w:left w:val="nil"/>
              <w:bottom w:val="nil"/>
              <w:right w:val="nil"/>
            </w:tcBorders>
            <w:shd w:val="clear" w:color="auto" w:fill="auto"/>
            <w:noWrap/>
            <w:vAlign w:val="bottom"/>
            <w:hideMark/>
          </w:tcPr>
          <w:p w14:paraId="50BE926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±311</w:t>
            </w:r>
          </w:p>
        </w:tc>
      </w:tr>
      <w:tr w:rsidR="00BD5A3F" w:rsidRPr="00BD5A3F" w14:paraId="0A38A02B" w14:textId="77777777" w:rsidTr="00BD5A3F">
        <w:trPr>
          <w:trHeight w:val="260"/>
        </w:trPr>
        <w:tc>
          <w:tcPr>
            <w:tcW w:w="1200" w:type="dxa"/>
            <w:tcBorders>
              <w:top w:val="nil"/>
              <w:left w:val="nil"/>
              <w:bottom w:val="nil"/>
              <w:right w:val="nil"/>
            </w:tcBorders>
            <w:shd w:val="clear" w:color="auto" w:fill="auto"/>
            <w:noWrap/>
            <w:vAlign w:val="bottom"/>
            <w:hideMark/>
          </w:tcPr>
          <w:p w14:paraId="24295E08"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212</w:t>
            </w:r>
          </w:p>
        </w:tc>
        <w:tc>
          <w:tcPr>
            <w:tcW w:w="620" w:type="dxa"/>
            <w:tcBorders>
              <w:top w:val="nil"/>
              <w:left w:val="nil"/>
              <w:bottom w:val="nil"/>
              <w:right w:val="nil"/>
            </w:tcBorders>
            <w:shd w:val="clear" w:color="auto" w:fill="auto"/>
            <w:noWrap/>
            <w:vAlign w:val="bottom"/>
            <w:hideMark/>
          </w:tcPr>
          <w:p w14:paraId="62092E0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416.1</w:t>
            </w:r>
          </w:p>
        </w:tc>
        <w:tc>
          <w:tcPr>
            <w:tcW w:w="480" w:type="dxa"/>
            <w:tcBorders>
              <w:top w:val="nil"/>
              <w:left w:val="nil"/>
              <w:bottom w:val="nil"/>
              <w:right w:val="nil"/>
            </w:tcBorders>
            <w:shd w:val="clear" w:color="auto" w:fill="auto"/>
            <w:noWrap/>
            <w:vAlign w:val="bottom"/>
            <w:hideMark/>
          </w:tcPr>
          <w:p w14:paraId="1537833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±0.5</w:t>
            </w:r>
          </w:p>
        </w:tc>
        <w:tc>
          <w:tcPr>
            <w:tcW w:w="660" w:type="dxa"/>
            <w:tcBorders>
              <w:top w:val="nil"/>
              <w:left w:val="nil"/>
              <w:bottom w:val="nil"/>
              <w:right w:val="nil"/>
            </w:tcBorders>
            <w:shd w:val="clear" w:color="auto" w:fill="auto"/>
            <w:noWrap/>
            <w:vAlign w:val="bottom"/>
            <w:hideMark/>
          </w:tcPr>
          <w:p w14:paraId="0DB158B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1139</w:t>
            </w:r>
          </w:p>
        </w:tc>
        <w:tc>
          <w:tcPr>
            <w:tcW w:w="620" w:type="dxa"/>
            <w:tcBorders>
              <w:top w:val="nil"/>
              <w:left w:val="nil"/>
              <w:bottom w:val="nil"/>
              <w:right w:val="nil"/>
            </w:tcBorders>
            <w:shd w:val="clear" w:color="auto" w:fill="auto"/>
            <w:noWrap/>
            <w:vAlign w:val="bottom"/>
            <w:hideMark/>
          </w:tcPr>
          <w:p w14:paraId="67A5B48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±23</w:t>
            </w:r>
          </w:p>
        </w:tc>
        <w:tc>
          <w:tcPr>
            <w:tcW w:w="760" w:type="dxa"/>
            <w:tcBorders>
              <w:top w:val="nil"/>
              <w:left w:val="nil"/>
              <w:bottom w:val="nil"/>
              <w:right w:val="nil"/>
            </w:tcBorders>
            <w:shd w:val="clear" w:color="auto" w:fill="auto"/>
            <w:noWrap/>
            <w:vAlign w:val="bottom"/>
            <w:hideMark/>
          </w:tcPr>
          <w:p w14:paraId="5B0C9562"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24631</w:t>
            </w:r>
          </w:p>
        </w:tc>
        <w:tc>
          <w:tcPr>
            <w:tcW w:w="900" w:type="dxa"/>
            <w:tcBorders>
              <w:top w:val="nil"/>
              <w:left w:val="nil"/>
              <w:bottom w:val="nil"/>
              <w:right w:val="nil"/>
            </w:tcBorders>
            <w:shd w:val="clear" w:color="auto" w:fill="auto"/>
            <w:noWrap/>
            <w:vAlign w:val="bottom"/>
            <w:hideMark/>
          </w:tcPr>
          <w:p w14:paraId="0CCBBCB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±495</w:t>
            </w:r>
          </w:p>
        </w:tc>
        <w:tc>
          <w:tcPr>
            <w:tcW w:w="720" w:type="dxa"/>
            <w:tcBorders>
              <w:top w:val="nil"/>
              <w:left w:val="nil"/>
              <w:bottom w:val="nil"/>
              <w:right w:val="nil"/>
            </w:tcBorders>
            <w:shd w:val="clear" w:color="auto" w:fill="auto"/>
            <w:noWrap/>
            <w:vAlign w:val="bottom"/>
            <w:hideMark/>
          </w:tcPr>
          <w:p w14:paraId="7F13E32A"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4368</w:t>
            </w:r>
          </w:p>
        </w:tc>
        <w:tc>
          <w:tcPr>
            <w:tcW w:w="560" w:type="dxa"/>
            <w:tcBorders>
              <w:top w:val="nil"/>
              <w:left w:val="nil"/>
              <w:bottom w:val="nil"/>
              <w:right w:val="nil"/>
            </w:tcBorders>
            <w:shd w:val="clear" w:color="auto" w:fill="auto"/>
            <w:noWrap/>
            <w:vAlign w:val="bottom"/>
            <w:hideMark/>
          </w:tcPr>
          <w:p w14:paraId="38FEB9E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w:t>
            </w:r>
          </w:p>
        </w:tc>
        <w:tc>
          <w:tcPr>
            <w:tcW w:w="860" w:type="dxa"/>
            <w:tcBorders>
              <w:top w:val="nil"/>
              <w:left w:val="nil"/>
              <w:bottom w:val="nil"/>
              <w:right w:val="nil"/>
            </w:tcBorders>
            <w:shd w:val="clear" w:color="auto" w:fill="auto"/>
            <w:noWrap/>
            <w:vAlign w:val="bottom"/>
            <w:hideMark/>
          </w:tcPr>
          <w:p w14:paraId="1F2F495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4.0887</w:t>
            </w:r>
          </w:p>
        </w:tc>
        <w:tc>
          <w:tcPr>
            <w:tcW w:w="860" w:type="dxa"/>
            <w:tcBorders>
              <w:top w:val="nil"/>
              <w:left w:val="nil"/>
              <w:bottom w:val="nil"/>
              <w:right w:val="nil"/>
            </w:tcBorders>
            <w:shd w:val="clear" w:color="auto" w:fill="auto"/>
            <w:noWrap/>
            <w:vAlign w:val="bottom"/>
            <w:hideMark/>
          </w:tcPr>
          <w:p w14:paraId="741E11D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0.0061</w:t>
            </w:r>
          </w:p>
        </w:tc>
        <w:tc>
          <w:tcPr>
            <w:tcW w:w="800" w:type="dxa"/>
            <w:tcBorders>
              <w:top w:val="nil"/>
              <w:left w:val="nil"/>
              <w:bottom w:val="nil"/>
              <w:right w:val="nil"/>
            </w:tcBorders>
            <w:shd w:val="clear" w:color="auto" w:fill="auto"/>
            <w:noWrap/>
            <w:vAlign w:val="bottom"/>
            <w:hideMark/>
          </w:tcPr>
          <w:p w14:paraId="409FEAA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122641</w:t>
            </w:r>
          </w:p>
        </w:tc>
        <w:tc>
          <w:tcPr>
            <w:tcW w:w="700" w:type="dxa"/>
            <w:tcBorders>
              <w:top w:val="nil"/>
              <w:left w:val="nil"/>
              <w:bottom w:val="nil"/>
              <w:right w:val="nil"/>
            </w:tcBorders>
            <w:shd w:val="clear" w:color="auto" w:fill="auto"/>
            <w:noWrap/>
            <w:vAlign w:val="bottom"/>
            <w:hideMark/>
          </w:tcPr>
          <w:p w14:paraId="51FAF33F"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±320</w:t>
            </w:r>
          </w:p>
        </w:tc>
        <w:tc>
          <w:tcPr>
            <w:tcW w:w="780" w:type="dxa"/>
            <w:tcBorders>
              <w:top w:val="nil"/>
              <w:left w:val="nil"/>
              <w:bottom w:val="nil"/>
              <w:right w:val="nil"/>
            </w:tcBorders>
            <w:shd w:val="clear" w:color="auto" w:fill="auto"/>
            <w:noWrap/>
            <w:vAlign w:val="bottom"/>
            <w:hideMark/>
          </w:tcPr>
          <w:p w14:paraId="23529028"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121629</w:t>
            </w:r>
          </w:p>
        </w:tc>
        <w:tc>
          <w:tcPr>
            <w:tcW w:w="660" w:type="dxa"/>
            <w:tcBorders>
              <w:top w:val="nil"/>
              <w:left w:val="nil"/>
              <w:bottom w:val="nil"/>
              <w:right w:val="nil"/>
            </w:tcBorders>
            <w:shd w:val="clear" w:color="auto" w:fill="auto"/>
            <w:noWrap/>
            <w:vAlign w:val="bottom"/>
            <w:hideMark/>
          </w:tcPr>
          <w:p w14:paraId="317100F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±442</w:t>
            </w:r>
          </w:p>
        </w:tc>
        <w:tc>
          <w:tcPr>
            <w:tcW w:w="680" w:type="dxa"/>
            <w:tcBorders>
              <w:top w:val="nil"/>
              <w:left w:val="nil"/>
              <w:bottom w:val="nil"/>
              <w:right w:val="nil"/>
            </w:tcBorders>
            <w:shd w:val="clear" w:color="auto" w:fill="auto"/>
            <w:noWrap/>
            <w:vAlign w:val="bottom"/>
            <w:hideMark/>
          </w:tcPr>
          <w:p w14:paraId="573E9A35"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6175</w:t>
            </w:r>
          </w:p>
        </w:tc>
        <w:tc>
          <w:tcPr>
            <w:tcW w:w="620" w:type="dxa"/>
            <w:tcBorders>
              <w:top w:val="nil"/>
              <w:left w:val="nil"/>
              <w:bottom w:val="nil"/>
              <w:right w:val="nil"/>
            </w:tcBorders>
            <w:shd w:val="clear" w:color="auto" w:fill="auto"/>
            <w:noWrap/>
            <w:vAlign w:val="bottom"/>
            <w:hideMark/>
          </w:tcPr>
          <w:p w14:paraId="17AECFF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w:t>
            </w:r>
          </w:p>
        </w:tc>
        <w:tc>
          <w:tcPr>
            <w:tcW w:w="740" w:type="dxa"/>
            <w:tcBorders>
              <w:top w:val="nil"/>
              <w:left w:val="nil"/>
              <w:bottom w:val="nil"/>
              <w:right w:val="nil"/>
            </w:tcBorders>
            <w:shd w:val="clear" w:color="auto" w:fill="auto"/>
            <w:noWrap/>
            <w:vAlign w:val="bottom"/>
            <w:hideMark/>
          </w:tcPr>
          <w:p w14:paraId="286D72C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121567</w:t>
            </w:r>
          </w:p>
        </w:tc>
        <w:tc>
          <w:tcPr>
            <w:tcW w:w="1340" w:type="dxa"/>
            <w:tcBorders>
              <w:top w:val="nil"/>
              <w:left w:val="nil"/>
              <w:bottom w:val="nil"/>
              <w:right w:val="nil"/>
            </w:tcBorders>
            <w:shd w:val="clear" w:color="auto" w:fill="auto"/>
            <w:noWrap/>
            <w:vAlign w:val="bottom"/>
            <w:hideMark/>
          </w:tcPr>
          <w:p w14:paraId="09D9F92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±442</w:t>
            </w:r>
          </w:p>
        </w:tc>
      </w:tr>
      <w:tr w:rsidR="00BD5A3F" w:rsidRPr="00BD5A3F" w14:paraId="104E39CB" w14:textId="77777777" w:rsidTr="00BD5A3F">
        <w:trPr>
          <w:trHeight w:val="260"/>
        </w:trPr>
        <w:tc>
          <w:tcPr>
            <w:tcW w:w="1200" w:type="dxa"/>
            <w:tcBorders>
              <w:top w:val="nil"/>
              <w:left w:val="nil"/>
              <w:bottom w:val="nil"/>
              <w:right w:val="nil"/>
            </w:tcBorders>
            <w:shd w:val="clear" w:color="auto" w:fill="auto"/>
            <w:noWrap/>
            <w:vAlign w:val="bottom"/>
            <w:hideMark/>
          </w:tcPr>
          <w:p w14:paraId="39655847"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231</w:t>
            </w:r>
          </w:p>
        </w:tc>
        <w:tc>
          <w:tcPr>
            <w:tcW w:w="620" w:type="dxa"/>
            <w:tcBorders>
              <w:top w:val="nil"/>
              <w:left w:val="nil"/>
              <w:bottom w:val="nil"/>
              <w:right w:val="nil"/>
            </w:tcBorders>
            <w:shd w:val="clear" w:color="auto" w:fill="auto"/>
            <w:noWrap/>
            <w:vAlign w:val="bottom"/>
            <w:hideMark/>
          </w:tcPr>
          <w:p w14:paraId="7FF880A5"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676.0</w:t>
            </w:r>
          </w:p>
        </w:tc>
        <w:tc>
          <w:tcPr>
            <w:tcW w:w="480" w:type="dxa"/>
            <w:tcBorders>
              <w:top w:val="nil"/>
              <w:left w:val="nil"/>
              <w:bottom w:val="nil"/>
              <w:right w:val="nil"/>
            </w:tcBorders>
            <w:shd w:val="clear" w:color="auto" w:fill="auto"/>
            <w:noWrap/>
            <w:vAlign w:val="bottom"/>
            <w:hideMark/>
          </w:tcPr>
          <w:p w14:paraId="7B6C268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±0.8</w:t>
            </w:r>
          </w:p>
        </w:tc>
        <w:tc>
          <w:tcPr>
            <w:tcW w:w="660" w:type="dxa"/>
            <w:tcBorders>
              <w:top w:val="nil"/>
              <w:left w:val="nil"/>
              <w:bottom w:val="nil"/>
              <w:right w:val="nil"/>
            </w:tcBorders>
            <w:shd w:val="clear" w:color="auto" w:fill="auto"/>
            <w:noWrap/>
            <w:vAlign w:val="bottom"/>
            <w:hideMark/>
          </w:tcPr>
          <w:p w14:paraId="7F0E511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7134</w:t>
            </w:r>
          </w:p>
        </w:tc>
        <w:tc>
          <w:tcPr>
            <w:tcW w:w="620" w:type="dxa"/>
            <w:tcBorders>
              <w:top w:val="nil"/>
              <w:left w:val="nil"/>
              <w:bottom w:val="nil"/>
              <w:right w:val="nil"/>
            </w:tcBorders>
            <w:shd w:val="clear" w:color="auto" w:fill="auto"/>
            <w:noWrap/>
            <w:vAlign w:val="bottom"/>
            <w:hideMark/>
          </w:tcPr>
          <w:p w14:paraId="63490584"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±143</w:t>
            </w:r>
          </w:p>
        </w:tc>
        <w:tc>
          <w:tcPr>
            <w:tcW w:w="760" w:type="dxa"/>
            <w:tcBorders>
              <w:top w:val="nil"/>
              <w:left w:val="nil"/>
              <w:bottom w:val="nil"/>
              <w:right w:val="nil"/>
            </w:tcBorders>
            <w:shd w:val="clear" w:color="auto" w:fill="auto"/>
            <w:noWrap/>
            <w:vAlign w:val="bottom"/>
            <w:hideMark/>
          </w:tcPr>
          <w:p w14:paraId="03657B0A"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6391</w:t>
            </w:r>
          </w:p>
        </w:tc>
        <w:tc>
          <w:tcPr>
            <w:tcW w:w="900" w:type="dxa"/>
            <w:tcBorders>
              <w:top w:val="nil"/>
              <w:left w:val="nil"/>
              <w:bottom w:val="nil"/>
              <w:right w:val="nil"/>
            </w:tcBorders>
            <w:shd w:val="clear" w:color="auto" w:fill="auto"/>
            <w:noWrap/>
            <w:vAlign w:val="bottom"/>
            <w:hideMark/>
          </w:tcPr>
          <w:p w14:paraId="672DD931"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±128</w:t>
            </w:r>
          </w:p>
        </w:tc>
        <w:tc>
          <w:tcPr>
            <w:tcW w:w="720" w:type="dxa"/>
            <w:tcBorders>
              <w:top w:val="nil"/>
              <w:left w:val="nil"/>
              <w:bottom w:val="nil"/>
              <w:right w:val="nil"/>
            </w:tcBorders>
            <w:shd w:val="clear" w:color="auto" w:fill="auto"/>
            <w:noWrap/>
            <w:vAlign w:val="bottom"/>
            <w:hideMark/>
          </w:tcPr>
          <w:p w14:paraId="64F20D3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4366.4</w:t>
            </w:r>
          </w:p>
        </w:tc>
        <w:tc>
          <w:tcPr>
            <w:tcW w:w="560" w:type="dxa"/>
            <w:tcBorders>
              <w:top w:val="nil"/>
              <w:left w:val="nil"/>
              <w:bottom w:val="nil"/>
              <w:right w:val="nil"/>
            </w:tcBorders>
            <w:shd w:val="clear" w:color="auto" w:fill="auto"/>
            <w:noWrap/>
            <w:vAlign w:val="bottom"/>
            <w:hideMark/>
          </w:tcPr>
          <w:p w14:paraId="34F287DF"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±4.1</w:t>
            </w:r>
          </w:p>
        </w:tc>
        <w:tc>
          <w:tcPr>
            <w:tcW w:w="860" w:type="dxa"/>
            <w:tcBorders>
              <w:top w:val="nil"/>
              <w:left w:val="nil"/>
              <w:bottom w:val="nil"/>
              <w:right w:val="nil"/>
            </w:tcBorders>
            <w:shd w:val="clear" w:color="auto" w:fill="auto"/>
            <w:noWrap/>
            <w:vAlign w:val="bottom"/>
            <w:hideMark/>
          </w:tcPr>
          <w:p w14:paraId="57533E0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4.0908</w:t>
            </w:r>
          </w:p>
        </w:tc>
        <w:tc>
          <w:tcPr>
            <w:tcW w:w="860" w:type="dxa"/>
            <w:tcBorders>
              <w:top w:val="nil"/>
              <w:left w:val="nil"/>
              <w:bottom w:val="nil"/>
              <w:right w:val="nil"/>
            </w:tcBorders>
            <w:shd w:val="clear" w:color="auto" w:fill="auto"/>
            <w:noWrap/>
            <w:vAlign w:val="bottom"/>
            <w:hideMark/>
          </w:tcPr>
          <w:p w14:paraId="2F7F0EA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0.0059</w:t>
            </w:r>
          </w:p>
        </w:tc>
        <w:tc>
          <w:tcPr>
            <w:tcW w:w="800" w:type="dxa"/>
            <w:tcBorders>
              <w:top w:val="nil"/>
              <w:left w:val="nil"/>
              <w:bottom w:val="nil"/>
              <w:right w:val="nil"/>
            </w:tcBorders>
            <w:shd w:val="clear" w:color="auto" w:fill="auto"/>
            <w:noWrap/>
            <w:vAlign w:val="bottom"/>
            <w:hideMark/>
          </w:tcPr>
          <w:p w14:paraId="3861BF10"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122811</w:t>
            </w:r>
          </w:p>
        </w:tc>
        <w:tc>
          <w:tcPr>
            <w:tcW w:w="700" w:type="dxa"/>
            <w:tcBorders>
              <w:top w:val="nil"/>
              <w:left w:val="nil"/>
              <w:bottom w:val="nil"/>
              <w:right w:val="nil"/>
            </w:tcBorders>
            <w:shd w:val="clear" w:color="auto" w:fill="auto"/>
            <w:noWrap/>
            <w:vAlign w:val="bottom"/>
            <w:hideMark/>
          </w:tcPr>
          <w:p w14:paraId="18EB8A9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±314</w:t>
            </w:r>
          </w:p>
        </w:tc>
        <w:tc>
          <w:tcPr>
            <w:tcW w:w="780" w:type="dxa"/>
            <w:tcBorders>
              <w:top w:val="nil"/>
              <w:left w:val="nil"/>
              <w:bottom w:val="nil"/>
              <w:right w:val="nil"/>
            </w:tcBorders>
            <w:shd w:val="clear" w:color="auto" w:fill="auto"/>
            <w:noWrap/>
            <w:vAlign w:val="bottom"/>
            <w:hideMark/>
          </w:tcPr>
          <w:p w14:paraId="1F30FBD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122769</w:t>
            </w:r>
          </w:p>
        </w:tc>
        <w:tc>
          <w:tcPr>
            <w:tcW w:w="660" w:type="dxa"/>
            <w:tcBorders>
              <w:top w:val="nil"/>
              <w:left w:val="nil"/>
              <w:bottom w:val="nil"/>
              <w:right w:val="nil"/>
            </w:tcBorders>
            <w:shd w:val="clear" w:color="auto" w:fill="auto"/>
            <w:noWrap/>
            <w:vAlign w:val="bottom"/>
            <w:hideMark/>
          </w:tcPr>
          <w:p w14:paraId="353AC618"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±316</w:t>
            </w:r>
          </w:p>
        </w:tc>
        <w:tc>
          <w:tcPr>
            <w:tcW w:w="680" w:type="dxa"/>
            <w:tcBorders>
              <w:top w:val="nil"/>
              <w:left w:val="nil"/>
              <w:bottom w:val="nil"/>
              <w:right w:val="nil"/>
            </w:tcBorders>
            <w:shd w:val="clear" w:color="auto" w:fill="auto"/>
            <w:noWrap/>
            <w:vAlign w:val="bottom"/>
            <w:hideMark/>
          </w:tcPr>
          <w:p w14:paraId="2ACE4FC7"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6174</w:t>
            </w:r>
          </w:p>
        </w:tc>
        <w:tc>
          <w:tcPr>
            <w:tcW w:w="620" w:type="dxa"/>
            <w:tcBorders>
              <w:top w:val="nil"/>
              <w:left w:val="nil"/>
              <w:bottom w:val="nil"/>
              <w:right w:val="nil"/>
            </w:tcBorders>
            <w:shd w:val="clear" w:color="auto" w:fill="auto"/>
            <w:noWrap/>
            <w:vAlign w:val="bottom"/>
            <w:hideMark/>
          </w:tcPr>
          <w:p w14:paraId="47D73C97"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w:t>
            </w:r>
          </w:p>
        </w:tc>
        <w:tc>
          <w:tcPr>
            <w:tcW w:w="740" w:type="dxa"/>
            <w:tcBorders>
              <w:top w:val="nil"/>
              <w:left w:val="nil"/>
              <w:bottom w:val="nil"/>
              <w:right w:val="nil"/>
            </w:tcBorders>
            <w:shd w:val="clear" w:color="auto" w:fill="auto"/>
            <w:noWrap/>
            <w:vAlign w:val="bottom"/>
            <w:hideMark/>
          </w:tcPr>
          <w:p w14:paraId="273C48A5"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122709</w:t>
            </w:r>
          </w:p>
        </w:tc>
        <w:tc>
          <w:tcPr>
            <w:tcW w:w="1340" w:type="dxa"/>
            <w:tcBorders>
              <w:top w:val="nil"/>
              <w:left w:val="nil"/>
              <w:bottom w:val="nil"/>
              <w:right w:val="nil"/>
            </w:tcBorders>
            <w:shd w:val="clear" w:color="auto" w:fill="auto"/>
            <w:noWrap/>
            <w:vAlign w:val="bottom"/>
            <w:hideMark/>
          </w:tcPr>
          <w:p w14:paraId="4EBBA8F9"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±316</w:t>
            </w:r>
          </w:p>
        </w:tc>
      </w:tr>
      <w:tr w:rsidR="00BD5A3F" w:rsidRPr="00BD5A3F" w14:paraId="5FD035F1" w14:textId="77777777" w:rsidTr="00BD5A3F">
        <w:trPr>
          <w:trHeight w:val="260"/>
        </w:trPr>
        <w:tc>
          <w:tcPr>
            <w:tcW w:w="1200" w:type="dxa"/>
            <w:tcBorders>
              <w:top w:val="nil"/>
              <w:left w:val="nil"/>
              <w:bottom w:val="nil"/>
              <w:right w:val="nil"/>
            </w:tcBorders>
            <w:shd w:val="clear" w:color="auto" w:fill="auto"/>
            <w:noWrap/>
            <w:vAlign w:val="bottom"/>
            <w:hideMark/>
          </w:tcPr>
          <w:p w14:paraId="240BD25A"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253</w:t>
            </w:r>
          </w:p>
        </w:tc>
        <w:tc>
          <w:tcPr>
            <w:tcW w:w="620" w:type="dxa"/>
            <w:tcBorders>
              <w:top w:val="nil"/>
              <w:left w:val="nil"/>
              <w:bottom w:val="nil"/>
              <w:right w:val="nil"/>
            </w:tcBorders>
            <w:shd w:val="clear" w:color="auto" w:fill="auto"/>
            <w:noWrap/>
            <w:vAlign w:val="bottom"/>
            <w:hideMark/>
          </w:tcPr>
          <w:p w14:paraId="7491839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491.7</w:t>
            </w:r>
          </w:p>
        </w:tc>
        <w:tc>
          <w:tcPr>
            <w:tcW w:w="480" w:type="dxa"/>
            <w:tcBorders>
              <w:top w:val="nil"/>
              <w:left w:val="nil"/>
              <w:bottom w:val="nil"/>
              <w:right w:val="nil"/>
            </w:tcBorders>
            <w:shd w:val="clear" w:color="auto" w:fill="auto"/>
            <w:noWrap/>
            <w:vAlign w:val="bottom"/>
            <w:hideMark/>
          </w:tcPr>
          <w:p w14:paraId="0D72EB5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±0.6</w:t>
            </w:r>
          </w:p>
        </w:tc>
        <w:tc>
          <w:tcPr>
            <w:tcW w:w="660" w:type="dxa"/>
            <w:tcBorders>
              <w:top w:val="nil"/>
              <w:left w:val="nil"/>
              <w:bottom w:val="nil"/>
              <w:right w:val="nil"/>
            </w:tcBorders>
            <w:shd w:val="clear" w:color="auto" w:fill="auto"/>
            <w:noWrap/>
            <w:vAlign w:val="bottom"/>
            <w:hideMark/>
          </w:tcPr>
          <w:p w14:paraId="0CBC13A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7723</w:t>
            </w:r>
          </w:p>
        </w:tc>
        <w:tc>
          <w:tcPr>
            <w:tcW w:w="620" w:type="dxa"/>
            <w:tcBorders>
              <w:top w:val="nil"/>
              <w:left w:val="nil"/>
              <w:bottom w:val="nil"/>
              <w:right w:val="nil"/>
            </w:tcBorders>
            <w:shd w:val="clear" w:color="auto" w:fill="auto"/>
            <w:noWrap/>
            <w:vAlign w:val="bottom"/>
            <w:hideMark/>
          </w:tcPr>
          <w:p w14:paraId="264A7803"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±155</w:t>
            </w:r>
          </w:p>
        </w:tc>
        <w:tc>
          <w:tcPr>
            <w:tcW w:w="760" w:type="dxa"/>
            <w:tcBorders>
              <w:top w:val="nil"/>
              <w:left w:val="nil"/>
              <w:bottom w:val="nil"/>
              <w:right w:val="nil"/>
            </w:tcBorders>
            <w:shd w:val="clear" w:color="auto" w:fill="auto"/>
            <w:noWrap/>
            <w:vAlign w:val="bottom"/>
            <w:hideMark/>
          </w:tcPr>
          <w:p w14:paraId="11EAC11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4372</w:t>
            </w:r>
          </w:p>
        </w:tc>
        <w:tc>
          <w:tcPr>
            <w:tcW w:w="900" w:type="dxa"/>
            <w:tcBorders>
              <w:top w:val="nil"/>
              <w:left w:val="nil"/>
              <w:bottom w:val="nil"/>
              <w:right w:val="nil"/>
            </w:tcBorders>
            <w:shd w:val="clear" w:color="auto" w:fill="auto"/>
            <w:noWrap/>
            <w:vAlign w:val="bottom"/>
            <w:hideMark/>
          </w:tcPr>
          <w:p w14:paraId="75FF4DF3"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±88</w:t>
            </w:r>
          </w:p>
        </w:tc>
        <w:tc>
          <w:tcPr>
            <w:tcW w:w="720" w:type="dxa"/>
            <w:tcBorders>
              <w:top w:val="nil"/>
              <w:left w:val="nil"/>
              <w:bottom w:val="nil"/>
              <w:right w:val="nil"/>
            </w:tcBorders>
            <w:shd w:val="clear" w:color="auto" w:fill="auto"/>
            <w:noWrap/>
            <w:vAlign w:val="bottom"/>
            <w:hideMark/>
          </w:tcPr>
          <w:p w14:paraId="5E5E4A0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4420.1</w:t>
            </w:r>
          </w:p>
        </w:tc>
        <w:tc>
          <w:tcPr>
            <w:tcW w:w="560" w:type="dxa"/>
            <w:tcBorders>
              <w:top w:val="nil"/>
              <w:left w:val="nil"/>
              <w:bottom w:val="nil"/>
              <w:right w:val="nil"/>
            </w:tcBorders>
            <w:shd w:val="clear" w:color="auto" w:fill="auto"/>
            <w:noWrap/>
            <w:vAlign w:val="bottom"/>
            <w:hideMark/>
          </w:tcPr>
          <w:p w14:paraId="6249E36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±4.5</w:t>
            </w:r>
          </w:p>
        </w:tc>
        <w:tc>
          <w:tcPr>
            <w:tcW w:w="860" w:type="dxa"/>
            <w:tcBorders>
              <w:top w:val="nil"/>
              <w:left w:val="nil"/>
              <w:bottom w:val="nil"/>
              <w:right w:val="nil"/>
            </w:tcBorders>
            <w:shd w:val="clear" w:color="auto" w:fill="auto"/>
            <w:noWrap/>
            <w:vAlign w:val="bottom"/>
            <w:hideMark/>
          </w:tcPr>
          <w:p w14:paraId="47A5B47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4.1651</w:t>
            </w:r>
          </w:p>
        </w:tc>
        <w:tc>
          <w:tcPr>
            <w:tcW w:w="860" w:type="dxa"/>
            <w:tcBorders>
              <w:top w:val="nil"/>
              <w:left w:val="nil"/>
              <w:bottom w:val="nil"/>
              <w:right w:val="nil"/>
            </w:tcBorders>
            <w:shd w:val="clear" w:color="auto" w:fill="auto"/>
            <w:noWrap/>
            <w:vAlign w:val="bottom"/>
            <w:hideMark/>
          </w:tcPr>
          <w:p w14:paraId="3B0A29F4"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0.0060</w:t>
            </w:r>
          </w:p>
        </w:tc>
        <w:tc>
          <w:tcPr>
            <w:tcW w:w="800" w:type="dxa"/>
            <w:tcBorders>
              <w:top w:val="nil"/>
              <w:left w:val="nil"/>
              <w:bottom w:val="nil"/>
              <w:right w:val="nil"/>
            </w:tcBorders>
            <w:shd w:val="clear" w:color="auto" w:fill="auto"/>
            <w:noWrap/>
            <w:vAlign w:val="bottom"/>
            <w:hideMark/>
          </w:tcPr>
          <w:p w14:paraId="0FF849D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124317</w:t>
            </w:r>
          </w:p>
        </w:tc>
        <w:tc>
          <w:tcPr>
            <w:tcW w:w="700" w:type="dxa"/>
            <w:tcBorders>
              <w:top w:val="nil"/>
              <w:left w:val="nil"/>
              <w:bottom w:val="nil"/>
              <w:right w:val="nil"/>
            </w:tcBorders>
            <w:shd w:val="clear" w:color="auto" w:fill="auto"/>
            <w:noWrap/>
            <w:vAlign w:val="bottom"/>
            <w:hideMark/>
          </w:tcPr>
          <w:p w14:paraId="43365D0E"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±328</w:t>
            </w:r>
          </w:p>
        </w:tc>
        <w:tc>
          <w:tcPr>
            <w:tcW w:w="780" w:type="dxa"/>
            <w:tcBorders>
              <w:top w:val="nil"/>
              <w:left w:val="nil"/>
              <w:bottom w:val="nil"/>
              <w:right w:val="nil"/>
            </w:tcBorders>
            <w:shd w:val="clear" w:color="auto" w:fill="auto"/>
            <w:noWrap/>
            <w:vAlign w:val="bottom"/>
            <w:hideMark/>
          </w:tcPr>
          <w:p w14:paraId="179CBDA7"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124254</w:t>
            </w:r>
          </w:p>
        </w:tc>
        <w:tc>
          <w:tcPr>
            <w:tcW w:w="660" w:type="dxa"/>
            <w:tcBorders>
              <w:top w:val="nil"/>
              <w:left w:val="nil"/>
              <w:bottom w:val="nil"/>
              <w:right w:val="nil"/>
            </w:tcBorders>
            <w:shd w:val="clear" w:color="auto" w:fill="auto"/>
            <w:noWrap/>
            <w:vAlign w:val="bottom"/>
            <w:hideMark/>
          </w:tcPr>
          <w:p w14:paraId="732461C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±330</w:t>
            </w:r>
          </w:p>
        </w:tc>
        <w:tc>
          <w:tcPr>
            <w:tcW w:w="680" w:type="dxa"/>
            <w:tcBorders>
              <w:top w:val="nil"/>
              <w:left w:val="nil"/>
              <w:bottom w:val="nil"/>
              <w:right w:val="nil"/>
            </w:tcBorders>
            <w:shd w:val="clear" w:color="auto" w:fill="auto"/>
            <w:noWrap/>
            <w:vAlign w:val="bottom"/>
            <w:hideMark/>
          </w:tcPr>
          <w:p w14:paraId="55C89671"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6277</w:t>
            </w:r>
          </w:p>
        </w:tc>
        <w:tc>
          <w:tcPr>
            <w:tcW w:w="620" w:type="dxa"/>
            <w:tcBorders>
              <w:top w:val="nil"/>
              <w:left w:val="nil"/>
              <w:bottom w:val="nil"/>
              <w:right w:val="nil"/>
            </w:tcBorders>
            <w:shd w:val="clear" w:color="auto" w:fill="auto"/>
            <w:noWrap/>
            <w:vAlign w:val="bottom"/>
            <w:hideMark/>
          </w:tcPr>
          <w:p w14:paraId="0B4043E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±9</w:t>
            </w:r>
          </w:p>
        </w:tc>
        <w:tc>
          <w:tcPr>
            <w:tcW w:w="740" w:type="dxa"/>
            <w:tcBorders>
              <w:top w:val="nil"/>
              <w:left w:val="nil"/>
              <w:bottom w:val="nil"/>
              <w:right w:val="nil"/>
            </w:tcBorders>
            <w:shd w:val="clear" w:color="auto" w:fill="auto"/>
            <w:noWrap/>
            <w:vAlign w:val="bottom"/>
            <w:hideMark/>
          </w:tcPr>
          <w:p w14:paraId="3B796FAC"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124194</w:t>
            </w:r>
          </w:p>
        </w:tc>
        <w:tc>
          <w:tcPr>
            <w:tcW w:w="1340" w:type="dxa"/>
            <w:tcBorders>
              <w:top w:val="nil"/>
              <w:left w:val="nil"/>
              <w:bottom w:val="nil"/>
              <w:right w:val="nil"/>
            </w:tcBorders>
            <w:shd w:val="clear" w:color="auto" w:fill="auto"/>
            <w:noWrap/>
            <w:vAlign w:val="bottom"/>
            <w:hideMark/>
          </w:tcPr>
          <w:p w14:paraId="3CBDFE43"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±330</w:t>
            </w:r>
          </w:p>
        </w:tc>
      </w:tr>
      <w:tr w:rsidR="00BD5A3F" w:rsidRPr="00BD5A3F" w14:paraId="5AAFFF7C" w14:textId="77777777" w:rsidTr="00BD5A3F">
        <w:trPr>
          <w:trHeight w:val="260"/>
        </w:trPr>
        <w:tc>
          <w:tcPr>
            <w:tcW w:w="1200" w:type="dxa"/>
            <w:tcBorders>
              <w:top w:val="nil"/>
              <w:left w:val="nil"/>
              <w:bottom w:val="nil"/>
              <w:right w:val="nil"/>
            </w:tcBorders>
            <w:shd w:val="clear" w:color="auto" w:fill="auto"/>
            <w:noWrap/>
            <w:vAlign w:val="bottom"/>
            <w:hideMark/>
          </w:tcPr>
          <w:p w14:paraId="51B24414" w14:textId="77777777" w:rsidR="00BD5A3F" w:rsidRPr="00435995" w:rsidRDefault="00BD5A3F" w:rsidP="00BD5A3F">
            <w:pPr>
              <w:jc w:val="cente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290</w:t>
            </w:r>
          </w:p>
        </w:tc>
        <w:tc>
          <w:tcPr>
            <w:tcW w:w="620" w:type="dxa"/>
            <w:tcBorders>
              <w:top w:val="nil"/>
              <w:left w:val="nil"/>
              <w:bottom w:val="nil"/>
              <w:right w:val="nil"/>
            </w:tcBorders>
            <w:shd w:val="clear" w:color="auto" w:fill="auto"/>
            <w:noWrap/>
            <w:vAlign w:val="bottom"/>
            <w:hideMark/>
          </w:tcPr>
          <w:p w14:paraId="3EEA91D3"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509</w:t>
            </w:r>
          </w:p>
        </w:tc>
        <w:tc>
          <w:tcPr>
            <w:tcW w:w="480" w:type="dxa"/>
            <w:tcBorders>
              <w:top w:val="nil"/>
              <w:left w:val="nil"/>
              <w:bottom w:val="nil"/>
              <w:right w:val="nil"/>
            </w:tcBorders>
            <w:shd w:val="clear" w:color="auto" w:fill="auto"/>
            <w:noWrap/>
            <w:vAlign w:val="bottom"/>
            <w:hideMark/>
          </w:tcPr>
          <w:p w14:paraId="47E92E55"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w:t>
            </w:r>
          </w:p>
        </w:tc>
        <w:tc>
          <w:tcPr>
            <w:tcW w:w="660" w:type="dxa"/>
            <w:tcBorders>
              <w:top w:val="nil"/>
              <w:left w:val="nil"/>
              <w:bottom w:val="nil"/>
              <w:right w:val="nil"/>
            </w:tcBorders>
            <w:shd w:val="clear" w:color="auto" w:fill="auto"/>
            <w:noWrap/>
            <w:vAlign w:val="bottom"/>
            <w:hideMark/>
          </w:tcPr>
          <w:p w14:paraId="57A3552F"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789</w:t>
            </w:r>
          </w:p>
        </w:tc>
        <w:tc>
          <w:tcPr>
            <w:tcW w:w="620" w:type="dxa"/>
            <w:tcBorders>
              <w:top w:val="nil"/>
              <w:left w:val="nil"/>
              <w:bottom w:val="nil"/>
              <w:right w:val="nil"/>
            </w:tcBorders>
            <w:shd w:val="clear" w:color="auto" w:fill="auto"/>
            <w:noWrap/>
            <w:vAlign w:val="bottom"/>
            <w:hideMark/>
          </w:tcPr>
          <w:p w14:paraId="3007D1E7"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±16</w:t>
            </w:r>
          </w:p>
        </w:tc>
        <w:tc>
          <w:tcPr>
            <w:tcW w:w="760" w:type="dxa"/>
            <w:tcBorders>
              <w:top w:val="nil"/>
              <w:left w:val="nil"/>
              <w:bottom w:val="nil"/>
              <w:right w:val="nil"/>
            </w:tcBorders>
            <w:shd w:val="clear" w:color="auto" w:fill="auto"/>
            <w:noWrap/>
            <w:vAlign w:val="bottom"/>
            <w:hideMark/>
          </w:tcPr>
          <w:p w14:paraId="370C5EFD"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45053.9</w:t>
            </w:r>
          </w:p>
        </w:tc>
        <w:tc>
          <w:tcPr>
            <w:tcW w:w="900" w:type="dxa"/>
            <w:tcBorders>
              <w:top w:val="nil"/>
              <w:left w:val="nil"/>
              <w:bottom w:val="nil"/>
              <w:right w:val="nil"/>
            </w:tcBorders>
            <w:shd w:val="clear" w:color="auto" w:fill="auto"/>
            <w:noWrap/>
            <w:vAlign w:val="bottom"/>
            <w:hideMark/>
          </w:tcPr>
          <w:p w14:paraId="70A4E21B"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±908</w:t>
            </w:r>
          </w:p>
        </w:tc>
        <w:tc>
          <w:tcPr>
            <w:tcW w:w="720" w:type="dxa"/>
            <w:tcBorders>
              <w:top w:val="nil"/>
              <w:left w:val="nil"/>
              <w:bottom w:val="nil"/>
              <w:right w:val="nil"/>
            </w:tcBorders>
            <w:shd w:val="clear" w:color="auto" w:fill="auto"/>
            <w:noWrap/>
            <w:vAlign w:val="bottom"/>
            <w:hideMark/>
          </w:tcPr>
          <w:p w14:paraId="0083099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4487.8</w:t>
            </w:r>
          </w:p>
        </w:tc>
        <w:tc>
          <w:tcPr>
            <w:tcW w:w="560" w:type="dxa"/>
            <w:tcBorders>
              <w:top w:val="nil"/>
              <w:left w:val="nil"/>
              <w:bottom w:val="nil"/>
              <w:right w:val="nil"/>
            </w:tcBorders>
            <w:shd w:val="clear" w:color="auto" w:fill="auto"/>
            <w:noWrap/>
            <w:vAlign w:val="bottom"/>
            <w:hideMark/>
          </w:tcPr>
          <w:p w14:paraId="3E14A3C7"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±4.7</w:t>
            </w:r>
          </w:p>
        </w:tc>
        <w:tc>
          <w:tcPr>
            <w:tcW w:w="860" w:type="dxa"/>
            <w:tcBorders>
              <w:top w:val="nil"/>
              <w:left w:val="nil"/>
              <w:bottom w:val="nil"/>
              <w:right w:val="nil"/>
            </w:tcBorders>
            <w:shd w:val="clear" w:color="auto" w:fill="auto"/>
            <w:noWrap/>
            <w:vAlign w:val="bottom"/>
            <w:hideMark/>
          </w:tcPr>
          <w:p w14:paraId="38DBD7AB"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4.2334</w:t>
            </w:r>
          </w:p>
        </w:tc>
        <w:tc>
          <w:tcPr>
            <w:tcW w:w="860" w:type="dxa"/>
            <w:tcBorders>
              <w:top w:val="nil"/>
              <w:left w:val="nil"/>
              <w:bottom w:val="nil"/>
              <w:right w:val="nil"/>
            </w:tcBorders>
            <w:shd w:val="clear" w:color="auto" w:fill="auto"/>
            <w:noWrap/>
            <w:vAlign w:val="bottom"/>
            <w:hideMark/>
          </w:tcPr>
          <w:p w14:paraId="64EDA046"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0.0075</w:t>
            </w:r>
          </w:p>
        </w:tc>
        <w:tc>
          <w:tcPr>
            <w:tcW w:w="800" w:type="dxa"/>
            <w:tcBorders>
              <w:top w:val="nil"/>
              <w:left w:val="nil"/>
              <w:bottom w:val="nil"/>
              <w:right w:val="nil"/>
            </w:tcBorders>
            <w:shd w:val="clear" w:color="auto" w:fill="auto"/>
            <w:noWrap/>
            <w:vAlign w:val="bottom"/>
            <w:hideMark/>
          </w:tcPr>
          <w:p w14:paraId="0B2A7F84"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125006</w:t>
            </w:r>
          </w:p>
        </w:tc>
        <w:tc>
          <w:tcPr>
            <w:tcW w:w="700" w:type="dxa"/>
            <w:tcBorders>
              <w:top w:val="nil"/>
              <w:left w:val="nil"/>
              <w:bottom w:val="nil"/>
              <w:right w:val="nil"/>
            </w:tcBorders>
            <w:shd w:val="clear" w:color="auto" w:fill="auto"/>
            <w:noWrap/>
            <w:vAlign w:val="bottom"/>
            <w:hideMark/>
          </w:tcPr>
          <w:p w14:paraId="786A9582"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±390</w:t>
            </w:r>
          </w:p>
        </w:tc>
        <w:tc>
          <w:tcPr>
            <w:tcW w:w="780" w:type="dxa"/>
            <w:tcBorders>
              <w:top w:val="nil"/>
              <w:left w:val="nil"/>
              <w:bottom w:val="nil"/>
              <w:right w:val="nil"/>
            </w:tcBorders>
            <w:shd w:val="clear" w:color="auto" w:fill="auto"/>
            <w:noWrap/>
            <w:vAlign w:val="bottom"/>
            <w:hideMark/>
          </w:tcPr>
          <w:p w14:paraId="2BF6A306"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124999</w:t>
            </w:r>
          </w:p>
        </w:tc>
        <w:tc>
          <w:tcPr>
            <w:tcW w:w="660" w:type="dxa"/>
            <w:tcBorders>
              <w:top w:val="nil"/>
              <w:left w:val="nil"/>
              <w:bottom w:val="nil"/>
              <w:right w:val="nil"/>
            </w:tcBorders>
            <w:shd w:val="clear" w:color="auto" w:fill="auto"/>
            <w:noWrap/>
            <w:vAlign w:val="bottom"/>
            <w:hideMark/>
          </w:tcPr>
          <w:p w14:paraId="2FD8EE54"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±390</w:t>
            </w:r>
          </w:p>
        </w:tc>
        <w:tc>
          <w:tcPr>
            <w:tcW w:w="680" w:type="dxa"/>
            <w:tcBorders>
              <w:top w:val="nil"/>
              <w:left w:val="nil"/>
              <w:bottom w:val="nil"/>
              <w:right w:val="nil"/>
            </w:tcBorders>
            <w:shd w:val="clear" w:color="auto" w:fill="auto"/>
            <w:noWrap/>
            <w:vAlign w:val="bottom"/>
            <w:hideMark/>
          </w:tcPr>
          <w:p w14:paraId="303BDB7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6386</w:t>
            </w:r>
          </w:p>
        </w:tc>
        <w:tc>
          <w:tcPr>
            <w:tcW w:w="620" w:type="dxa"/>
            <w:tcBorders>
              <w:top w:val="nil"/>
              <w:left w:val="nil"/>
              <w:bottom w:val="nil"/>
              <w:right w:val="nil"/>
            </w:tcBorders>
            <w:shd w:val="clear" w:color="auto" w:fill="auto"/>
            <w:noWrap/>
            <w:vAlign w:val="bottom"/>
            <w:hideMark/>
          </w:tcPr>
          <w:p w14:paraId="0360357D"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±10</w:t>
            </w:r>
          </w:p>
        </w:tc>
        <w:tc>
          <w:tcPr>
            <w:tcW w:w="740" w:type="dxa"/>
            <w:tcBorders>
              <w:top w:val="nil"/>
              <w:left w:val="nil"/>
              <w:bottom w:val="nil"/>
              <w:right w:val="nil"/>
            </w:tcBorders>
            <w:shd w:val="clear" w:color="auto" w:fill="auto"/>
            <w:noWrap/>
            <w:vAlign w:val="bottom"/>
            <w:hideMark/>
          </w:tcPr>
          <w:p w14:paraId="1CF09F2E" w14:textId="77777777" w:rsidR="00BD5A3F" w:rsidRPr="00435995" w:rsidRDefault="00BD5A3F" w:rsidP="00BD5A3F">
            <w:pPr>
              <w:jc w:val="right"/>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124939</w:t>
            </w:r>
          </w:p>
        </w:tc>
        <w:tc>
          <w:tcPr>
            <w:tcW w:w="1340" w:type="dxa"/>
            <w:tcBorders>
              <w:top w:val="nil"/>
              <w:left w:val="nil"/>
              <w:bottom w:val="nil"/>
              <w:right w:val="nil"/>
            </w:tcBorders>
            <w:shd w:val="clear" w:color="auto" w:fill="auto"/>
            <w:noWrap/>
            <w:vAlign w:val="bottom"/>
            <w:hideMark/>
          </w:tcPr>
          <w:p w14:paraId="561765FA" w14:textId="77777777" w:rsidR="00BD5A3F" w:rsidRPr="00435995" w:rsidRDefault="00BD5A3F" w:rsidP="00BD5A3F">
            <w:pPr>
              <w:rPr>
                <w:rFonts w:ascii="Times New Roman" w:eastAsia="Times New Roman" w:hAnsi="Times New Roman" w:cs="Times New Roman"/>
                <w:sz w:val="20"/>
                <w:szCs w:val="20"/>
              </w:rPr>
            </w:pPr>
            <w:r w:rsidRPr="00435995">
              <w:rPr>
                <w:rFonts w:ascii="Times New Roman" w:eastAsia="Times New Roman" w:hAnsi="Times New Roman" w:cs="Times New Roman"/>
                <w:sz w:val="20"/>
                <w:szCs w:val="20"/>
              </w:rPr>
              <w:t>±390</w:t>
            </w:r>
          </w:p>
        </w:tc>
      </w:tr>
      <w:tr w:rsidR="00BD5A3F" w:rsidRPr="00BD5A3F" w14:paraId="09C4A629" w14:textId="77777777" w:rsidTr="00BD5A3F">
        <w:trPr>
          <w:trHeight w:val="260"/>
        </w:trPr>
        <w:tc>
          <w:tcPr>
            <w:tcW w:w="1200" w:type="dxa"/>
            <w:tcBorders>
              <w:top w:val="nil"/>
              <w:left w:val="nil"/>
              <w:bottom w:val="single" w:sz="4" w:space="0" w:color="auto"/>
              <w:right w:val="nil"/>
            </w:tcBorders>
            <w:shd w:val="clear" w:color="auto" w:fill="auto"/>
            <w:noWrap/>
            <w:vAlign w:val="bottom"/>
            <w:hideMark/>
          </w:tcPr>
          <w:p w14:paraId="2CE925D1" w14:textId="77777777" w:rsidR="00BD5A3F" w:rsidRPr="00BD5A3F" w:rsidRDefault="00BD5A3F" w:rsidP="00BD5A3F">
            <w:pPr>
              <w:jc w:val="cente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620" w:type="dxa"/>
            <w:tcBorders>
              <w:top w:val="nil"/>
              <w:left w:val="nil"/>
              <w:bottom w:val="single" w:sz="4" w:space="0" w:color="auto"/>
              <w:right w:val="nil"/>
            </w:tcBorders>
            <w:shd w:val="clear" w:color="auto" w:fill="auto"/>
            <w:noWrap/>
            <w:vAlign w:val="bottom"/>
            <w:hideMark/>
          </w:tcPr>
          <w:p w14:paraId="075CA0BD"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480" w:type="dxa"/>
            <w:tcBorders>
              <w:top w:val="nil"/>
              <w:left w:val="nil"/>
              <w:bottom w:val="single" w:sz="4" w:space="0" w:color="auto"/>
              <w:right w:val="nil"/>
            </w:tcBorders>
            <w:shd w:val="clear" w:color="auto" w:fill="auto"/>
            <w:noWrap/>
            <w:vAlign w:val="bottom"/>
            <w:hideMark/>
          </w:tcPr>
          <w:p w14:paraId="078F3606"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660" w:type="dxa"/>
            <w:tcBorders>
              <w:top w:val="nil"/>
              <w:left w:val="nil"/>
              <w:bottom w:val="single" w:sz="4" w:space="0" w:color="auto"/>
              <w:right w:val="nil"/>
            </w:tcBorders>
            <w:shd w:val="clear" w:color="auto" w:fill="auto"/>
            <w:noWrap/>
            <w:vAlign w:val="bottom"/>
            <w:hideMark/>
          </w:tcPr>
          <w:p w14:paraId="1C1842F9"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620" w:type="dxa"/>
            <w:tcBorders>
              <w:top w:val="nil"/>
              <w:left w:val="nil"/>
              <w:bottom w:val="single" w:sz="4" w:space="0" w:color="auto"/>
              <w:right w:val="nil"/>
            </w:tcBorders>
            <w:shd w:val="clear" w:color="auto" w:fill="auto"/>
            <w:noWrap/>
            <w:vAlign w:val="bottom"/>
            <w:hideMark/>
          </w:tcPr>
          <w:p w14:paraId="69CE062C"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760" w:type="dxa"/>
            <w:tcBorders>
              <w:top w:val="nil"/>
              <w:left w:val="nil"/>
              <w:bottom w:val="single" w:sz="4" w:space="0" w:color="auto"/>
              <w:right w:val="nil"/>
            </w:tcBorders>
            <w:shd w:val="clear" w:color="auto" w:fill="auto"/>
            <w:noWrap/>
            <w:vAlign w:val="bottom"/>
            <w:hideMark/>
          </w:tcPr>
          <w:p w14:paraId="1FCFBD46"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900" w:type="dxa"/>
            <w:tcBorders>
              <w:top w:val="nil"/>
              <w:left w:val="nil"/>
              <w:bottom w:val="single" w:sz="4" w:space="0" w:color="auto"/>
              <w:right w:val="nil"/>
            </w:tcBorders>
            <w:shd w:val="clear" w:color="auto" w:fill="auto"/>
            <w:noWrap/>
            <w:vAlign w:val="bottom"/>
            <w:hideMark/>
          </w:tcPr>
          <w:p w14:paraId="7F9CE07F"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720" w:type="dxa"/>
            <w:tcBorders>
              <w:top w:val="nil"/>
              <w:left w:val="nil"/>
              <w:bottom w:val="single" w:sz="4" w:space="0" w:color="auto"/>
              <w:right w:val="nil"/>
            </w:tcBorders>
            <w:shd w:val="clear" w:color="auto" w:fill="auto"/>
            <w:noWrap/>
            <w:vAlign w:val="bottom"/>
            <w:hideMark/>
          </w:tcPr>
          <w:p w14:paraId="405D5F93"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560" w:type="dxa"/>
            <w:tcBorders>
              <w:top w:val="nil"/>
              <w:left w:val="nil"/>
              <w:bottom w:val="single" w:sz="4" w:space="0" w:color="auto"/>
              <w:right w:val="nil"/>
            </w:tcBorders>
            <w:shd w:val="clear" w:color="auto" w:fill="auto"/>
            <w:noWrap/>
            <w:vAlign w:val="bottom"/>
            <w:hideMark/>
          </w:tcPr>
          <w:p w14:paraId="5928528F"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860" w:type="dxa"/>
            <w:tcBorders>
              <w:top w:val="nil"/>
              <w:left w:val="nil"/>
              <w:bottom w:val="single" w:sz="4" w:space="0" w:color="auto"/>
              <w:right w:val="nil"/>
            </w:tcBorders>
            <w:shd w:val="clear" w:color="auto" w:fill="auto"/>
            <w:noWrap/>
            <w:vAlign w:val="bottom"/>
            <w:hideMark/>
          </w:tcPr>
          <w:p w14:paraId="7AF40EB7"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860" w:type="dxa"/>
            <w:tcBorders>
              <w:top w:val="nil"/>
              <w:left w:val="nil"/>
              <w:bottom w:val="single" w:sz="4" w:space="0" w:color="auto"/>
              <w:right w:val="nil"/>
            </w:tcBorders>
            <w:shd w:val="clear" w:color="auto" w:fill="auto"/>
            <w:noWrap/>
            <w:vAlign w:val="bottom"/>
            <w:hideMark/>
          </w:tcPr>
          <w:p w14:paraId="7FE5695A"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800" w:type="dxa"/>
            <w:tcBorders>
              <w:top w:val="nil"/>
              <w:left w:val="nil"/>
              <w:bottom w:val="single" w:sz="4" w:space="0" w:color="auto"/>
              <w:right w:val="nil"/>
            </w:tcBorders>
            <w:shd w:val="clear" w:color="auto" w:fill="auto"/>
            <w:noWrap/>
            <w:vAlign w:val="bottom"/>
            <w:hideMark/>
          </w:tcPr>
          <w:p w14:paraId="1F07B109"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700" w:type="dxa"/>
            <w:tcBorders>
              <w:top w:val="nil"/>
              <w:left w:val="nil"/>
              <w:bottom w:val="single" w:sz="4" w:space="0" w:color="auto"/>
              <w:right w:val="nil"/>
            </w:tcBorders>
            <w:shd w:val="clear" w:color="auto" w:fill="auto"/>
            <w:noWrap/>
            <w:vAlign w:val="bottom"/>
            <w:hideMark/>
          </w:tcPr>
          <w:p w14:paraId="051F6C2E"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780" w:type="dxa"/>
            <w:tcBorders>
              <w:top w:val="nil"/>
              <w:left w:val="nil"/>
              <w:bottom w:val="single" w:sz="4" w:space="0" w:color="auto"/>
              <w:right w:val="nil"/>
            </w:tcBorders>
            <w:shd w:val="clear" w:color="auto" w:fill="auto"/>
            <w:noWrap/>
            <w:vAlign w:val="bottom"/>
            <w:hideMark/>
          </w:tcPr>
          <w:p w14:paraId="2185E63F" w14:textId="77777777" w:rsidR="00BD5A3F" w:rsidRPr="00BD5A3F" w:rsidRDefault="00BD5A3F" w:rsidP="00BD5A3F">
            <w:pPr>
              <w:rPr>
                <w:rFonts w:ascii="Times New Roman" w:eastAsia="Times New Roman" w:hAnsi="Times New Roman" w:cs="Times New Roman"/>
                <w:b/>
                <w:bCs/>
                <w:sz w:val="20"/>
                <w:szCs w:val="20"/>
              </w:rPr>
            </w:pPr>
            <w:r w:rsidRPr="00BD5A3F">
              <w:rPr>
                <w:rFonts w:ascii="Times New Roman" w:eastAsia="Times New Roman" w:hAnsi="Times New Roman" w:cs="Times New Roman"/>
                <w:b/>
                <w:bCs/>
                <w:sz w:val="20"/>
                <w:szCs w:val="20"/>
              </w:rPr>
              <w:t> </w:t>
            </w:r>
          </w:p>
        </w:tc>
        <w:tc>
          <w:tcPr>
            <w:tcW w:w="660" w:type="dxa"/>
            <w:tcBorders>
              <w:top w:val="nil"/>
              <w:left w:val="nil"/>
              <w:bottom w:val="single" w:sz="4" w:space="0" w:color="auto"/>
              <w:right w:val="nil"/>
            </w:tcBorders>
            <w:shd w:val="clear" w:color="auto" w:fill="auto"/>
            <w:noWrap/>
            <w:vAlign w:val="bottom"/>
            <w:hideMark/>
          </w:tcPr>
          <w:p w14:paraId="28DEC7F2" w14:textId="77777777" w:rsidR="00BD5A3F" w:rsidRPr="00BD5A3F" w:rsidRDefault="00BD5A3F" w:rsidP="00BD5A3F">
            <w:pPr>
              <w:rPr>
                <w:rFonts w:ascii="Times New Roman" w:eastAsia="Times New Roman" w:hAnsi="Times New Roman" w:cs="Times New Roman"/>
                <w:b/>
                <w:bCs/>
                <w:sz w:val="20"/>
                <w:szCs w:val="20"/>
              </w:rPr>
            </w:pPr>
            <w:r w:rsidRPr="00BD5A3F">
              <w:rPr>
                <w:rFonts w:ascii="Times New Roman" w:eastAsia="Times New Roman" w:hAnsi="Times New Roman" w:cs="Times New Roman"/>
                <w:b/>
                <w:bCs/>
                <w:sz w:val="20"/>
                <w:szCs w:val="20"/>
              </w:rPr>
              <w:t> </w:t>
            </w:r>
          </w:p>
        </w:tc>
        <w:tc>
          <w:tcPr>
            <w:tcW w:w="680" w:type="dxa"/>
            <w:tcBorders>
              <w:top w:val="nil"/>
              <w:left w:val="nil"/>
              <w:bottom w:val="single" w:sz="4" w:space="0" w:color="auto"/>
              <w:right w:val="nil"/>
            </w:tcBorders>
            <w:shd w:val="clear" w:color="auto" w:fill="auto"/>
            <w:noWrap/>
            <w:vAlign w:val="bottom"/>
            <w:hideMark/>
          </w:tcPr>
          <w:p w14:paraId="05A94637"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620" w:type="dxa"/>
            <w:tcBorders>
              <w:top w:val="nil"/>
              <w:left w:val="nil"/>
              <w:bottom w:val="single" w:sz="4" w:space="0" w:color="auto"/>
              <w:right w:val="nil"/>
            </w:tcBorders>
            <w:shd w:val="clear" w:color="auto" w:fill="auto"/>
            <w:noWrap/>
            <w:vAlign w:val="bottom"/>
            <w:hideMark/>
          </w:tcPr>
          <w:p w14:paraId="49F76167"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w:t>
            </w:r>
          </w:p>
        </w:tc>
        <w:tc>
          <w:tcPr>
            <w:tcW w:w="740" w:type="dxa"/>
            <w:tcBorders>
              <w:top w:val="nil"/>
              <w:left w:val="nil"/>
              <w:bottom w:val="single" w:sz="4" w:space="0" w:color="auto"/>
              <w:right w:val="nil"/>
            </w:tcBorders>
            <w:shd w:val="clear" w:color="auto" w:fill="auto"/>
            <w:noWrap/>
            <w:vAlign w:val="bottom"/>
            <w:hideMark/>
          </w:tcPr>
          <w:p w14:paraId="326099D0" w14:textId="77777777" w:rsidR="00BD5A3F" w:rsidRPr="00BD5A3F" w:rsidRDefault="00BD5A3F" w:rsidP="00BD5A3F">
            <w:pPr>
              <w:rPr>
                <w:rFonts w:ascii="Times New Roman" w:eastAsia="Times New Roman" w:hAnsi="Times New Roman" w:cs="Times New Roman"/>
                <w:b/>
                <w:bCs/>
                <w:sz w:val="20"/>
                <w:szCs w:val="20"/>
              </w:rPr>
            </w:pPr>
            <w:r w:rsidRPr="00BD5A3F">
              <w:rPr>
                <w:rFonts w:ascii="Times New Roman" w:eastAsia="Times New Roman" w:hAnsi="Times New Roman" w:cs="Times New Roman"/>
                <w:b/>
                <w:bCs/>
                <w:sz w:val="20"/>
                <w:szCs w:val="20"/>
              </w:rPr>
              <w:t> </w:t>
            </w:r>
          </w:p>
        </w:tc>
        <w:tc>
          <w:tcPr>
            <w:tcW w:w="1340" w:type="dxa"/>
            <w:tcBorders>
              <w:top w:val="nil"/>
              <w:left w:val="nil"/>
              <w:bottom w:val="single" w:sz="4" w:space="0" w:color="auto"/>
              <w:right w:val="nil"/>
            </w:tcBorders>
            <w:shd w:val="clear" w:color="auto" w:fill="auto"/>
            <w:noWrap/>
            <w:vAlign w:val="bottom"/>
            <w:hideMark/>
          </w:tcPr>
          <w:p w14:paraId="3EF9A1E5" w14:textId="77777777" w:rsidR="00BD5A3F" w:rsidRPr="00BD5A3F" w:rsidRDefault="00BD5A3F" w:rsidP="00BD5A3F">
            <w:pPr>
              <w:rPr>
                <w:rFonts w:ascii="Times New Roman" w:eastAsia="Times New Roman" w:hAnsi="Times New Roman" w:cs="Times New Roman"/>
                <w:b/>
                <w:bCs/>
                <w:sz w:val="20"/>
                <w:szCs w:val="20"/>
              </w:rPr>
            </w:pPr>
            <w:r w:rsidRPr="00BD5A3F">
              <w:rPr>
                <w:rFonts w:ascii="Times New Roman" w:eastAsia="Times New Roman" w:hAnsi="Times New Roman" w:cs="Times New Roman"/>
                <w:b/>
                <w:bCs/>
                <w:sz w:val="20"/>
                <w:szCs w:val="20"/>
              </w:rPr>
              <w:t> </w:t>
            </w:r>
          </w:p>
        </w:tc>
      </w:tr>
      <w:tr w:rsidR="00BD5A3F" w:rsidRPr="00BD5A3F" w14:paraId="69798584" w14:textId="77777777" w:rsidTr="00BD5A3F">
        <w:trPr>
          <w:trHeight w:val="260"/>
        </w:trPr>
        <w:tc>
          <w:tcPr>
            <w:tcW w:w="1200" w:type="dxa"/>
            <w:tcBorders>
              <w:top w:val="nil"/>
              <w:left w:val="nil"/>
              <w:bottom w:val="nil"/>
              <w:right w:val="nil"/>
            </w:tcBorders>
            <w:shd w:val="clear" w:color="auto" w:fill="auto"/>
            <w:noWrap/>
            <w:vAlign w:val="bottom"/>
            <w:hideMark/>
          </w:tcPr>
          <w:p w14:paraId="58272FCF" w14:textId="77777777" w:rsidR="00BD5A3F" w:rsidRPr="00BD5A3F" w:rsidRDefault="00BD5A3F" w:rsidP="00BD5A3F">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72620BE3" w14:textId="77777777" w:rsidR="00BD5A3F" w:rsidRPr="00BD5A3F" w:rsidRDefault="00BD5A3F" w:rsidP="00BD5A3F">
            <w:pPr>
              <w:rPr>
                <w:rFonts w:ascii="Times New Roman" w:eastAsia="Times New Roman" w:hAnsi="Times New Roman" w:cs="Times New Roman"/>
                <w:sz w:val="20"/>
                <w:szCs w:val="20"/>
              </w:rPr>
            </w:pPr>
          </w:p>
        </w:tc>
        <w:tc>
          <w:tcPr>
            <w:tcW w:w="480" w:type="dxa"/>
            <w:tcBorders>
              <w:top w:val="nil"/>
              <w:left w:val="nil"/>
              <w:bottom w:val="nil"/>
              <w:right w:val="nil"/>
            </w:tcBorders>
            <w:shd w:val="clear" w:color="auto" w:fill="auto"/>
            <w:noWrap/>
            <w:vAlign w:val="bottom"/>
            <w:hideMark/>
          </w:tcPr>
          <w:p w14:paraId="366EEEB0" w14:textId="77777777" w:rsidR="00BD5A3F" w:rsidRPr="00BD5A3F" w:rsidRDefault="00BD5A3F" w:rsidP="00BD5A3F">
            <w:pP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58C7AD14"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7F47BB9E" w14:textId="77777777" w:rsidR="00BD5A3F" w:rsidRPr="00BD5A3F" w:rsidRDefault="00BD5A3F" w:rsidP="00BD5A3F">
            <w:pP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7DF5970D" w14:textId="77777777" w:rsidR="00BD5A3F" w:rsidRPr="00BD5A3F" w:rsidRDefault="00BD5A3F" w:rsidP="00BD5A3F">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1B0DB43" w14:textId="77777777" w:rsidR="00BD5A3F" w:rsidRPr="00BD5A3F" w:rsidRDefault="00BD5A3F" w:rsidP="00BD5A3F">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8D877D4" w14:textId="77777777" w:rsidR="00BD5A3F" w:rsidRPr="00BD5A3F" w:rsidRDefault="00BD5A3F" w:rsidP="00BD5A3F">
            <w:pP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7379B55D" w14:textId="77777777" w:rsidR="00BD5A3F" w:rsidRPr="00BD5A3F"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1F2F9737" w14:textId="77777777" w:rsidR="00BD5A3F" w:rsidRPr="00BD5A3F"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7FC8D824" w14:textId="77777777" w:rsidR="00BD5A3F" w:rsidRPr="00BD5A3F" w:rsidRDefault="00BD5A3F" w:rsidP="00BD5A3F">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718E200" w14:textId="77777777" w:rsidR="00BD5A3F" w:rsidRPr="00BD5A3F" w:rsidRDefault="00BD5A3F" w:rsidP="00BD5A3F">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70A2FCD4" w14:textId="77777777" w:rsidR="00BD5A3F" w:rsidRPr="00BD5A3F"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37CA4142" w14:textId="77777777" w:rsidR="00BD5A3F" w:rsidRPr="00BD5A3F" w:rsidRDefault="00BD5A3F" w:rsidP="00BD5A3F">
            <w:pPr>
              <w:rPr>
                <w:rFonts w:ascii="Times New Roman" w:eastAsia="Times New Roman" w:hAnsi="Times New Roman" w:cs="Times New Roman"/>
                <w:b/>
                <w:bCs/>
                <w:sz w:val="20"/>
                <w:szCs w:val="20"/>
              </w:rPr>
            </w:pPr>
          </w:p>
        </w:tc>
        <w:tc>
          <w:tcPr>
            <w:tcW w:w="660" w:type="dxa"/>
            <w:tcBorders>
              <w:top w:val="nil"/>
              <w:left w:val="nil"/>
              <w:bottom w:val="nil"/>
              <w:right w:val="nil"/>
            </w:tcBorders>
            <w:shd w:val="clear" w:color="auto" w:fill="auto"/>
            <w:noWrap/>
            <w:vAlign w:val="bottom"/>
            <w:hideMark/>
          </w:tcPr>
          <w:p w14:paraId="65365EB6" w14:textId="77777777" w:rsidR="00BD5A3F" w:rsidRPr="00BD5A3F" w:rsidRDefault="00BD5A3F" w:rsidP="00BD5A3F">
            <w:pPr>
              <w:rPr>
                <w:rFonts w:ascii="Times New Roman" w:eastAsia="Times New Roman" w:hAnsi="Times New Roman" w:cs="Times New Roman"/>
                <w:b/>
                <w:bCs/>
                <w:sz w:val="20"/>
                <w:szCs w:val="20"/>
              </w:rPr>
            </w:pPr>
          </w:p>
        </w:tc>
        <w:tc>
          <w:tcPr>
            <w:tcW w:w="680" w:type="dxa"/>
            <w:tcBorders>
              <w:top w:val="nil"/>
              <w:left w:val="nil"/>
              <w:bottom w:val="nil"/>
              <w:right w:val="nil"/>
            </w:tcBorders>
            <w:shd w:val="clear" w:color="auto" w:fill="auto"/>
            <w:noWrap/>
            <w:vAlign w:val="bottom"/>
            <w:hideMark/>
          </w:tcPr>
          <w:p w14:paraId="71DC4EDF"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BCAAA4A" w14:textId="77777777" w:rsidR="00BD5A3F" w:rsidRPr="00BD5A3F"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18F3944E"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538D2962"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00BF1930" w14:textId="77777777" w:rsidTr="00BD5A3F">
        <w:trPr>
          <w:trHeight w:val="280"/>
        </w:trPr>
        <w:tc>
          <w:tcPr>
            <w:tcW w:w="1200" w:type="dxa"/>
            <w:tcBorders>
              <w:top w:val="nil"/>
              <w:left w:val="nil"/>
              <w:bottom w:val="nil"/>
              <w:right w:val="nil"/>
            </w:tcBorders>
            <w:shd w:val="clear" w:color="auto" w:fill="auto"/>
            <w:noWrap/>
            <w:vAlign w:val="bottom"/>
            <w:hideMark/>
          </w:tcPr>
          <w:p w14:paraId="76040EE3" w14:textId="77777777" w:rsidR="00BD5A3F" w:rsidRPr="00BD5A3F" w:rsidRDefault="00BD5A3F" w:rsidP="00BD5A3F">
            <w:pPr>
              <w:rPr>
                <w:rFonts w:ascii="Symbol" w:eastAsia="Times New Roman" w:hAnsi="Symbol" w:cs="Times New Roman"/>
                <w:color w:val="003366"/>
                <w:sz w:val="22"/>
                <w:szCs w:val="22"/>
              </w:rPr>
            </w:pPr>
          </w:p>
        </w:tc>
        <w:tc>
          <w:tcPr>
            <w:tcW w:w="620" w:type="dxa"/>
            <w:tcBorders>
              <w:top w:val="nil"/>
              <w:left w:val="nil"/>
              <w:bottom w:val="nil"/>
              <w:right w:val="nil"/>
            </w:tcBorders>
            <w:shd w:val="clear" w:color="auto" w:fill="auto"/>
            <w:noWrap/>
            <w:vAlign w:val="bottom"/>
            <w:hideMark/>
          </w:tcPr>
          <w:p w14:paraId="14BC16EC" w14:textId="77777777" w:rsidR="00BD5A3F" w:rsidRPr="00BD5A3F" w:rsidRDefault="00BD5A3F" w:rsidP="00BD5A3F">
            <w:pPr>
              <w:rPr>
                <w:rFonts w:ascii="Times New Roman" w:eastAsia="Times New Roman" w:hAnsi="Times New Roman" w:cs="Times New Roman"/>
                <w:sz w:val="20"/>
                <w:szCs w:val="20"/>
              </w:rPr>
            </w:pPr>
          </w:p>
        </w:tc>
        <w:tc>
          <w:tcPr>
            <w:tcW w:w="480" w:type="dxa"/>
            <w:tcBorders>
              <w:top w:val="nil"/>
              <w:left w:val="nil"/>
              <w:bottom w:val="nil"/>
              <w:right w:val="nil"/>
            </w:tcBorders>
            <w:shd w:val="clear" w:color="auto" w:fill="auto"/>
            <w:noWrap/>
            <w:vAlign w:val="bottom"/>
            <w:hideMark/>
          </w:tcPr>
          <w:p w14:paraId="0EC82A56" w14:textId="77777777" w:rsidR="00BD5A3F" w:rsidRPr="00BD5A3F" w:rsidRDefault="00BD5A3F" w:rsidP="00BD5A3F">
            <w:pP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14:paraId="300CED79"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7AFF18B0" w14:textId="77777777" w:rsidR="00BD5A3F" w:rsidRPr="00BD5A3F" w:rsidRDefault="00BD5A3F" w:rsidP="00BD5A3F">
            <w:pP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763210F" w14:textId="77777777" w:rsidR="00BD5A3F" w:rsidRPr="00BD5A3F" w:rsidRDefault="00BD5A3F" w:rsidP="00BD5A3F">
            <w:pP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0F7FF83" w14:textId="77777777" w:rsidR="00BD5A3F" w:rsidRPr="00BD5A3F" w:rsidRDefault="00BD5A3F" w:rsidP="00BD5A3F">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65120DDE" w14:textId="77777777" w:rsidR="00BD5A3F" w:rsidRPr="00BD5A3F" w:rsidRDefault="00BD5A3F" w:rsidP="00BD5A3F">
            <w:pPr>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00AAF038" w14:textId="77777777" w:rsidR="00BD5A3F" w:rsidRPr="00BD5A3F"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38CE3D68" w14:textId="77777777" w:rsidR="00BD5A3F" w:rsidRPr="00BD5A3F" w:rsidRDefault="00BD5A3F" w:rsidP="00BD5A3F">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5B1686F0" w14:textId="77777777" w:rsidR="00BD5A3F" w:rsidRPr="00BD5A3F" w:rsidRDefault="00BD5A3F" w:rsidP="00BD5A3F">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A43876C" w14:textId="77777777" w:rsidR="00BD5A3F" w:rsidRPr="00BD5A3F" w:rsidRDefault="00BD5A3F" w:rsidP="00BD5A3F">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5BAEF2BB" w14:textId="77777777" w:rsidR="00BD5A3F" w:rsidRPr="00BD5A3F"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61A2C81F" w14:textId="77777777" w:rsidR="00BD5A3F" w:rsidRPr="00BD5A3F" w:rsidRDefault="00BD5A3F" w:rsidP="00BD5A3F">
            <w:pPr>
              <w:rPr>
                <w:rFonts w:ascii="Times New Roman" w:eastAsia="Times New Roman" w:hAnsi="Times New Roman" w:cs="Times New Roman"/>
                <w:b/>
                <w:bCs/>
                <w:sz w:val="20"/>
                <w:szCs w:val="20"/>
              </w:rPr>
            </w:pPr>
          </w:p>
        </w:tc>
        <w:tc>
          <w:tcPr>
            <w:tcW w:w="660" w:type="dxa"/>
            <w:tcBorders>
              <w:top w:val="nil"/>
              <w:left w:val="nil"/>
              <w:bottom w:val="nil"/>
              <w:right w:val="nil"/>
            </w:tcBorders>
            <w:shd w:val="clear" w:color="auto" w:fill="auto"/>
            <w:noWrap/>
            <w:vAlign w:val="bottom"/>
            <w:hideMark/>
          </w:tcPr>
          <w:p w14:paraId="3CE44572" w14:textId="77777777" w:rsidR="00BD5A3F" w:rsidRPr="00BD5A3F" w:rsidRDefault="00BD5A3F" w:rsidP="00BD5A3F">
            <w:pPr>
              <w:rPr>
                <w:rFonts w:ascii="Times New Roman" w:eastAsia="Times New Roman" w:hAnsi="Times New Roman" w:cs="Times New Roman"/>
                <w:b/>
                <w:bCs/>
                <w:sz w:val="20"/>
                <w:szCs w:val="20"/>
              </w:rPr>
            </w:pPr>
          </w:p>
        </w:tc>
        <w:tc>
          <w:tcPr>
            <w:tcW w:w="680" w:type="dxa"/>
            <w:tcBorders>
              <w:top w:val="nil"/>
              <w:left w:val="nil"/>
              <w:bottom w:val="nil"/>
              <w:right w:val="nil"/>
            </w:tcBorders>
            <w:shd w:val="clear" w:color="auto" w:fill="auto"/>
            <w:noWrap/>
            <w:vAlign w:val="bottom"/>
            <w:hideMark/>
          </w:tcPr>
          <w:p w14:paraId="1C490DBE"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39A0F802" w14:textId="77777777" w:rsidR="00BD5A3F" w:rsidRPr="00BD5A3F"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6F57313A"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7F08695D"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6C197553" w14:textId="77777777" w:rsidTr="00BD5A3F">
        <w:trPr>
          <w:trHeight w:val="280"/>
        </w:trPr>
        <w:tc>
          <w:tcPr>
            <w:tcW w:w="12480" w:type="dxa"/>
            <w:gridSpan w:val="17"/>
            <w:tcBorders>
              <w:top w:val="nil"/>
              <w:left w:val="nil"/>
              <w:bottom w:val="nil"/>
              <w:right w:val="nil"/>
            </w:tcBorders>
            <w:shd w:val="clear" w:color="auto" w:fill="auto"/>
            <w:noWrap/>
            <w:vAlign w:val="bottom"/>
            <w:hideMark/>
          </w:tcPr>
          <w:p w14:paraId="3E35F86A" w14:textId="77777777" w:rsidR="00BD5A3F" w:rsidRPr="00BD5A3F" w:rsidRDefault="00BD5A3F" w:rsidP="00BD5A3F">
            <w:pPr>
              <w:rPr>
                <w:rFonts w:ascii="Times" w:eastAsia="Times New Roman" w:hAnsi="Times" w:cs="Times New Roman"/>
                <w:sz w:val="20"/>
                <w:szCs w:val="20"/>
              </w:rPr>
            </w:pPr>
            <w:r w:rsidRPr="00BD5A3F">
              <w:rPr>
                <w:rFonts w:ascii="Times" w:eastAsia="Times New Roman" w:hAnsi="Times" w:cs="Times New Roman"/>
                <w:sz w:val="20"/>
                <w:szCs w:val="20"/>
              </w:rPr>
              <w:t xml:space="preserve"> The error is 2s error.  *</w:t>
            </w:r>
            <w:r w:rsidRPr="00BD5A3F">
              <w:rPr>
                <w:rFonts w:ascii="Symbol" w:eastAsia="Times New Roman" w:hAnsi="Symbol" w:cs="Times New Roman"/>
                <w:sz w:val="20"/>
                <w:szCs w:val="20"/>
              </w:rPr>
              <w:t></w:t>
            </w:r>
            <w:r w:rsidRPr="00BD5A3F">
              <w:rPr>
                <w:rFonts w:ascii="Times" w:eastAsia="Times New Roman" w:hAnsi="Times" w:cs="Times New Roman"/>
                <w:sz w:val="20"/>
                <w:szCs w:val="20"/>
                <w:vertAlign w:val="superscript"/>
              </w:rPr>
              <w:t>234</w:t>
            </w:r>
            <w:r w:rsidRPr="00BD5A3F">
              <w:rPr>
                <w:rFonts w:ascii="Times" w:eastAsia="Times New Roman" w:hAnsi="Times" w:cs="Times New Roman"/>
                <w:sz w:val="20"/>
                <w:szCs w:val="20"/>
              </w:rPr>
              <w:t>U = ([</w:t>
            </w:r>
            <w:r w:rsidRPr="00BD5A3F">
              <w:rPr>
                <w:rFonts w:ascii="Times" w:eastAsia="Times New Roman" w:hAnsi="Times" w:cs="Times New Roman"/>
                <w:sz w:val="20"/>
                <w:szCs w:val="20"/>
                <w:vertAlign w:val="superscript"/>
              </w:rPr>
              <w:t>234</w:t>
            </w:r>
            <w:r w:rsidRPr="00BD5A3F">
              <w:rPr>
                <w:rFonts w:ascii="Times" w:eastAsia="Times New Roman" w:hAnsi="Times" w:cs="Times New Roman"/>
                <w:sz w:val="20"/>
                <w:szCs w:val="20"/>
              </w:rPr>
              <w:t>U/</w:t>
            </w:r>
            <w:r w:rsidRPr="00BD5A3F">
              <w:rPr>
                <w:rFonts w:ascii="Times" w:eastAsia="Times New Roman" w:hAnsi="Times" w:cs="Times New Roman"/>
                <w:sz w:val="20"/>
                <w:szCs w:val="20"/>
                <w:vertAlign w:val="superscript"/>
              </w:rPr>
              <w:t>238</w:t>
            </w:r>
            <w:r w:rsidRPr="00BD5A3F">
              <w:rPr>
                <w:rFonts w:ascii="Times" w:eastAsia="Times New Roman" w:hAnsi="Times" w:cs="Times New Roman"/>
                <w:sz w:val="20"/>
                <w:szCs w:val="20"/>
              </w:rPr>
              <w:t>U]</w:t>
            </w:r>
            <w:r w:rsidRPr="00BD5A3F">
              <w:rPr>
                <w:rFonts w:ascii="Times" w:eastAsia="Times New Roman" w:hAnsi="Times" w:cs="Times New Roman"/>
                <w:sz w:val="20"/>
                <w:szCs w:val="20"/>
                <w:vertAlign w:val="subscript"/>
              </w:rPr>
              <w:t>activity</w:t>
            </w:r>
            <w:r w:rsidRPr="00BD5A3F">
              <w:rPr>
                <w:rFonts w:ascii="Times" w:eastAsia="Times New Roman" w:hAnsi="Times" w:cs="Times New Roman"/>
                <w:sz w:val="20"/>
                <w:szCs w:val="20"/>
              </w:rPr>
              <w:t xml:space="preserve"> – 1)x1000.  ** </w:t>
            </w:r>
            <w:r w:rsidRPr="00BD5A3F">
              <w:rPr>
                <w:rFonts w:ascii="Symbol" w:eastAsia="Times New Roman" w:hAnsi="Symbol" w:cs="Times New Roman"/>
                <w:sz w:val="20"/>
                <w:szCs w:val="20"/>
              </w:rPr>
              <w:t></w:t>
            </w:r>
            <w:r w:rsidRPr="00BD5A3F">
              <w:rPr>
                <w:rFonts w:ascii="Times" w:eastAsia="Times New Roman" w:hAnsi="Times" w:cs="Times New Roman"/>
                <w:sz w:val="20"/>
                <w:szCs w:val="20"/>
                <w:vertAlign w:val="superscript"/>
              </w:rPr>
              <w:t>234</w:t>
            </w:r>
            <w:r w:rsidRPr="00BD5A3F">
              <w:rPr>
                <w:rFonts w:ascii="Times" w:eastAsia="Times New Roman" w:hAnsi="Times" w:cs="Times New Roman"/>
                <w:sz w:val="20"/>
                <w:szCs w:val="20"/>
              </w:rPr>
              <w:t>U</w:t>
            </w:r>
            <w:r w:rsidRPr="00BD5A3F">
              <w:rPr>
                <w:rFonts w:ascii="Times" w:eastAsia="Times New Roman" w:hAnsi="Times" w:cs="Times New Roman"/>
                <w:sz w:val="20"/>
                <w:szCs w:val="20"/>
                <w:vertAlign w:val="subscript"/>
              </w:rPr>
              <w:t>initial</w:t>
            </w:r>
            <w:r w:rsidRPr="00BD5A3F">
              <w:rPr>
                <w:rFonts w:ascii="Times" w:eastAsia="Times New Roman" w:hAnsi="Times" w:cs="Times New Roman"/>
                <w:sz w:val="20"/>
                <w:szCs w:val="20"/>
              </w:rPr>
              <w:t xml:space="preserve"> was calculated based on </w:t>
            </w:r>
            <w:r w:rsidRPr="00BD5A3F">
              <w:rPr>
                <w:rFonts w:ascii="Times" w:eastAsia="Times New Roman" w:hAnsi="Times" w:cs="Times New Roman"/>
                <w:sz w:val="20"/>
                <w:szCs w:val="20"/>
                <w:vertAlign w:val="superscript"/>
              </w:rPr>
              <w:t>230</w:t>
            </w:r>
            <w:r w:rsidRPr="00BD5A3F">
              <w:rPr>
                <w:rFonts w:ascii="Times" w:eastAsia="Times New Roman" w:hAnsi="Times" w:cs="Times New Roman"/>
                <w:sz w:val="20"/>
                <w:szCs w:val="20"/>
              </w:rPr>
              <w:t xml:space="preserve">Th age (T), i.e., </w:t>
            </w:r>
            <w:r w:rsidRPr="00BD5A3F">
              <w:rPr>
                <w:rFonts w:ascii="Symbol" w:eastAsia="Times New Roman" w:hAnsi="Symbol" w:cs="Times New Roman"/>
                <w:sz w:val="20"/>
                <w:szCs w:val="20"/>
              </w:rPr>
              <w:t></w:t>
            </w:r>
            <w:r w:rsidRPr="00BD5A3F">
              <w:rPr>
                <w:rFonts w:ascii="Times" w:eastAsia="Times New Roman" w:hAnsi="Times" w:cs="Times New Roman"/>
                <w:sz w:val="20"/>
                <w:szCs w:val="20"/>
                <w:vertAlign w:val="superscript"/>
              </w:rPr>
              <w:t>234</w:t>
            </w:r>
            <w:r w:rsidRPr="00BD5A3F">
              <w:rPr>
                <w:rFonts w:ascii="Times" w:eastAsia="Times New Roman" w:hAnsi="Times" w:cs="Times New Roman"/>
                <w:sz w:val="20"/>
                <w:szCs w:val="20"/>
              </w:rPr>
              <w:t>U</w:t>
            </w:r>
            <w:r w:rsidRPr="00BD5A3F">
              <w:rPr>
                <w:rFonts w:ascii="Times" w:eastAsia="Times New Roman" w:hAnsi="Times" w:cs="Times New Roman"/>
                <w:sz w:val="20"/>
                <w:szCs w:val="20"/>
                <w:vertAlign w:val="subscript"/>
              </w:rPr>
              <w:t>initial</w:t>
            </w:r>
            <w:r w:rsidRPr="00BD5A3F">
              <w:rPr>
                <w:rFonts w:ascii="Times" w:eastAsia="Times New Roman" w:hAnsi="Times" w:cs="Times New Roman"/>
                <w:sz w:val="20"/>
                <w:szCs w:val="20"/>
              </w:rPr>
              <w:t xml:space="preserve"> = </w:t>
            </w:r>
            <w:r w:rsidRPr="00BD5A3F">
              <w:rPr>
                <w:rFonts w:ascii="Symbol" w:eastAsia="Times New Roman" w:hAnsi="Symbol" w:cs="Times New Roman"/>
                <w:sz w:val="20"/>
                <w:szCs w:val="20"/>
              </w:rPr>
              <w:t></w:t>
            </w:r>
            <w:r w:rsidRPr="00BD5A3F">
              <w:rPr>
                <w:rFonts w:ascii="Times" w:eastAsia="Times New Roman" w:hAnsi="Times" w:cs="Times New Roman"/>
                <w:sz w:val="20"/>
                <w:szCs w:val="20"/>
                <w:vertAlign w:val="superscript"/>
              </w:rPr>
              <w:t>234</w:t>
            </w:r>
            <w:r w:rsidRPr="00BD5A3F">
              <w:rPr>
                <w:rFonts w:ascii="Times" w:eastAsia="Times New Roman" w:hAnsi="Times" w:cs="Times New Roman"/>
                <w:sz w:val="20"/>
                <w:szCs w:val="20"/>
              </w:rPr>
              <w:t>U</w:t>
            </w:r>
            <w:r w:rsidRPr="00BD5A3F">
              <w:rPr>
                <w:rFonts w:ascii="Times" w:eastAsia="Times New Roman" w:hAnsi="Times" w:cs="Times New Roman"/>
                <w:sz w:val="20"/>
                <w:szCs w:val="20"/>
                <w:vertAlign w:val="subscript"/>
              </w:rPr>
              <w:t>measured</w:t>
            </w:r>
            <w:r w:rsidRPr="00BD5A3F">
              <w:rPr>
                <w:rFonts w:ascii="Times" w:eastAsia="Times New Roman" w:hAnsi="Times" w:cs="Times New Roman"/>
                <w:sz w:val="20"/>
                <w:szCs w:val="20"/>
              </w:rPr>
              <w:t xml:space="preserve"> x e</w:t>
            </w:r>
            <w:r w:rsidRPr="00BD5A3F">
              <w:rPr>
                <w:rFonts w:ascii="Symbol" w:eastAsia="Times New Roman" w:hAnsi="Symbol" w:cs="Times New Roman"/>
                <w:sz w:val="20"/>
                <w:szCs w:val="20"/>
                <w:vertAlign w:val="superscript"/>
              </w:rPr>
              <w:t></w:t>
            </w:r>
            <w:r w:rsidRPr="00BD5A3F">
              <w:rPr>
                <w:rFonts w:ascii="Times" w:eastAsia="Times New Roman" w:hAnsi="Times" w:cs="Times New Roman"/>
                <w:sz w:val="18"/>
                <w:szCs w:val="18"/>
                <w:vertAlign w:val="superscript"/>
              </w:rPr>
              <w:t>234</w:t>
            </w:r>
            <w:r w:rsidRPr="00BD5A3F">
              <w:rPr>
                <w:rFonts w:ascii="Times" w:eastAsia="Times New Roman" w:hAnsi="Times" w:cs="Times New Roman"/>
                <w:sz w:val="20"/>
                <w:szCs w:val="20"/>
                <w:vertAlign w:val="superscript"/>
              </w:rPr>
              <w:t>xT</w:t>
            </w:r>
            <w:r w:rsidRPr="00BD5A3F">
              <w:rPr>
                <w:rFonts w:ascii="Times" w:eastAsia="Times New Roman" w:hAnsi="Times" w:cs="Times New Roman"/>
                <w:sz w:val="20"/>
                <w:szCs w:val="20"/>
              </w:rPr>
              <w:t>.</w:t>
            </w:r>
            <w:r w:rsidRPr="00BD5A3F">
              <w:rPr>
                <w:rFonts w:ascii="Times" w:eastAsia="Times New Roman" w:hAnsi="Times" w:cs="Times New Roman"/>
                <w:sz w:val="26"/>
                <w:szCs w:val="26"/>
              </w:rPr>
              <w:t xml:space="preserve">  </w:t>
            </w:r>
          </w:p>
        </w:tc>
        <w:tc>
          <w:tcPr>
            <w:tcW w:w="740" w:type="dxa"/>
            <w:tcBorders>
              <w:top w:val="nil"/>
              <w:left w:val="nil"/>
              <w:bottom w:val="nil"/>
              <w:right w:val="nil"/>
            </w:tcBorders>
            <w:shd w:val="clear" w:color="auto" w:fill="auto"/>
            <w:noWrap/>
            <w:vAlign w:val="bottom"/>
            <w:hideMark/>
          </w:tcPr>
          <w:p w14:paraId="3787DA45"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71CD4D40"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08ED4FD3" w14:textId="77777777" w:rsidTr="00BD5A3F">
        <w:trPr>
          <w:trHeight w:val="260"/>
        </w:trPr>
        <w:tc>
          <w:tcPr>
            <w:tcW w:w="10520" w:type="dxa"/>
            <w:gridSpan w:val="14"/>
            <w:tcBorders>
              <w:top w:val="nil"/>
              <w:left w:val="nil"/>
              <w:bottom w:val="nil"/>
              <w:right w:val="nil"/>
            </w:tcBorders>
            <w:shd w:val="clear" w:color="auto" w:fill="auto"/>
            <w:noWrap/>
            <w:vAlign w:val="bottom"/>
            <w:hideMark/>
          </w:tcPr>
          <w:p w14:paraId="27B6F2B5" w14:textId="77777777" w:rsidR="00BD5A3F" w:rsidRPr="00BD5A3F" w:rsidRDefault="00BD5A3F" w:rsidP="00BD5A3F">
            <w:pPr>
              <w:rPr>
                <w:rFonts w:ascii="Times" w:eastAsia="Times New Roman" w:hAnsi="Times" w:cs="Times New Roman"/>
                <w:sz w:val="20"/>
                <w:szCs w:val="20"/>
              </w:rPr>
            </w:pPr>
            <w:r w:rsidRPr="00BD5A3F">
              <w:rPr>
                <w:rFonts w:ascii="Times" w:eastAsia="Times New Roman" w:hAnsi="Times" w:cs="Times New Roman"/>
                <w:sz w:val="20"/>
                <w:szCs w:val="20"/>
              </w:rPr>
              <w:t xml:space="preserve">Corrected </w:t>
            </w:r>
            <w:r w:rsidRPr="00BD5A3F">
              <w:rPr>
                <w:rFonts w:ascii="Times" w:eastAsia="Times New Roman" w:hAnsi="Times" w:cs="Times New Roman"/>
                <w:sz w:val="20"/>
                <w:szCs w:val="20"/>
                <w:vertAlign w:val="superscript"/>
              </w:rPr>
              <w:t>230</w:t>
            </w:r>
            <w:r w:rsidRPr="00BD5A3F">
              <w:rPr>
                <w:rFonts w:ascii="Times" w:eastAsia="Times New Roman" w:hAnsi="Times" w:cs="Times New Roman"/>
                <w:sz w:val="20"/>
                <w:szCs w:val="20"/>
              </w:rPr>
              <w:t xml:space="preserve">Th ages assume the initial </w:t>
            </w:r>
            <w:r w:rsidRPr="00BD5A3F">
              <w:rPr>
                <w:rFonts w:ascii="Times" w:eastAsia="Times New Roman" w:hAnsi="Times" w:cs="Times New Roman"/>
                <w:sz w:val="20"/>
                <w:szCs w:val="20"/>
                <w:vertAlign w:val="superscript"/>
              </w:rPr>
              <w:t>230</w:t>
            </w:r>
            <w:r w:rsidRPr="00BD5A3F">
              <w:rPr>
                <w:rFonts w:ascii="Times" w:eastAsia="Times New Roman" w:hAnsi="Times" w:cs="Times New Roman"/>
                <w:sz w:val="20"/>
                <w:szCs w:val="20"/>
              </w:rPr>
              <w:t>Th/</w:t>
            </w:r>
            <w:r w:rsidRPr="00BD5A3F">
              <w:rPr>
                <w:rFonts w:ascii="Times" w:eastAsia="Times New Roman" w:hAnsi="Times" w:cs="Times New Roman"/>
                <w:sz w:val="20"/>
                <w:szCs w:val="20"/>
                <w:vertAlign w:val="superscript"/>
              </w:rPr>
              <w:t>232</w:t>
            </w:r>
            <w:r w:rsidRPr="00BD5A3F">
              <w:rPr>
                <w:rFonts w:ascii="Times" w:eastAsia="Times New Roman" w:hAnsi="Times" w:cs="Times New Roman"/>
                <w:sz w:val="20"/>
                <w:szCs w:val="20"/>
              </w:rPr>
              <w:t xml:space="preserve">Th atomic ratio of 4.4 </w:t>
            </w:r>
            <w:r w:rsidRPr="00BD5A3F">
              <w:rPr>
                <w:rFonts w:ascii="Geneva" w:eastAsia="Times New Roman" w:hAnsi="Geneva" w:cs="Times New Roman"/>
                <w:sz w:val="14"/>
                <w:szCs w:val="14"/>
              </w:rPr>
              <w:t xml:space="preserve"> </w:t>
            </w:r>
            <w:r w:rsidRPr="00BD5A3F">
              <w:rPr>
                <w:rFonts w:ascii="Times" w:eastAsia="Times New Roman" w:hAnsi="Times" w:cs="Times New Roman"/>
                <w:sz w:val="20"/>
                <w:szCs w:val="20"/>
              </w:rPr>
              <w:t>±2.2 x10</w:t>
            </w:r>
            <w:r w:rsidRPr="00BD5A3F">
              <w:rPr>
                <w:rFonts w:ascii="Times" w:eastAsia="Times New Roman" w:hAnsi="Times" w:cs="Times New Roman"/>
                <w:sz w:val="20"/>
                <w:szCs w:val="20"/>
                <w:vertAlign w:val="superscript"/>
              </w:rPr>
              <w:t>-6</w:t>
            </w:r>
            <w:r w:rsidRPr="00BD5A3F">
              <w:rPr>
                <w:rFonts w:ascii="Times" w:eastAsia="Times New Roman" w:hAnsi="Times" w:cs="Times New Roman"/>
                <w:sz w:val="20"/>
                <w:szCs w:val="20"/>
              </w:rPr>
              <w:t xml:space="preserve">.   Those are the values for a material at secular </w:t>
            </w:r>
          </w:p>
        </w:tc>
        <w:tc>
          <w:tcPr>
            <w:tcW w:w="660" w:type="dxa"/>
            <w:tcBorders>
              <w:top w:val="nil"/>
              <w:left w:val="nil"/>
              <w:bottom w:val="nil"/>
              <w:right w:val="nil"/>
            </w:tcBorders>
            <w:shd w:val="clear" w:color="auto" w:fill="auto"/>
            <w:noWrap/>
            <w:vAlign w:val="bottom"/>
            <w:hideMark/>
          </w:tcPr>
          <w:p w14:paraId="3089BF7B" w14:textId="77777777" w:rsidR="00BD5A3F" w:rsidRPr="00BD5A3F" w:rsidRDefault="00BD5A3F" w:rsidP="00BD5A3F">
            <w:pPr>
              <w:rPr>
                <w:rFonts w:ascii="Times New Roman" w:eastAsia="Times New Roman" w:hAnsi="Times New Roman" w:cs="Times New Roman"/>
                <w:b/>
                <w:bCs/>
                <w:sz w:val="20"/>
                <w:szCs w:val="20"/>
              </w:rPr>
            </w:pPr>
          </w:p>
        </w:tc>
        <w:tc>
          <w:tcPr>
            <w:tcW w:w="680" w:type="dxa"/>
            <w:tcBorders>
              <w:top w:val="nil"/>
              <w:left w:val="nil"/>
              <w:bottom w:val="nil"/>
              <w:right w:val="nil"/>
            </w:tcBorders>
            <w:shd w:val="clear" w:color="auto" w:fill="auto"/>
            <w:noWrap/>
            <w:vAlign w:val="bottom"/>
            <w:hideMark/>
          </w:tcPr>
          <w:p w14:paraId="2F838E3A"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64F417EA" w14:textId="77777777" w:rsidR="00BD5A3F" w:rsidRPr="00BD5A3F"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03466BD7"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3FA3C5F0"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32FDD2F0" w14:textId="77777777" w:rsidTr="00BD5A3F">
        <w:trPr>
          <w:trHeight w:val="260"/>
        </w:trPr>
        <w:tc>
          <w:tcPr>
            <w:tcW w:w="9040" w:type="dxa"/>
            <w:gridSpan w:val="12"/>
            <w:tcBorders>
              <w:top w:val="nil"/>
              <w:left w:val="nil"/>
              <w:bottom w:val="nil"/>
              <w:right w:val="nil"/>
            </w:tcBorders>
            <w:shd w:val="clear" w:color="auto" w:fill="auto"/>
            <w:noWrap/>
            <w:vAlign w:val="bottom"/>
            <w:hideMark/>
          </w:tcPr>
          <w:p w14:paraId="131C0EA6" w14:textId="77777777" w:rsidR="00BD5A3F" w:rsidRPr="00BD5A3F" w:rsidRDefault="00BD5A3F" w:rsidP="00BD5A3F">
            <w:pPr>
              <w:rPr>
                <w:rFonts w:ascii="Times" w:eastAsia="Times New Roman" w:hAnsi="Times" w:cs="Times New Roman"/>
                <w:sz w:val="20"/>
                <w:szCs w:val="20"/>
              </w:rPr>
            </w:pPr>
            <w:r w:rsidRPr="00BD5A3F">
              <w:rPr>
                <w:rFonts w:ascii="Times" w:eastAsia="Times New Roman" w:hAnsi="Times" w:cs="Times New Roman"/>
                <w:sz w:val="20"/>
                <w:szCs w:val="20"/>
              </w:rPr>
              <w:t xml:space="preserve">equilibrium, with the bulk earth </w:t>
            </w:r>
            <w:r w:rsidRPr="00BD5A3F">
              <w:rPr>
                <w:rFonts w:ascii="Times" w:eastAsia="Times New Roman" w:hAnsi="Times" w:cs="Times New Roman"/>
                <w:sz w:val="20"/>
                <w:szCs w:val="20"/>
                <w:vertAlign w:val="superscript"/>
              </w:rPr>
              <w:t>232</w:t>
            </w:r>
            <w:r w:rsidRPr="00BD5A3F">
              <w:rPr>
                <w:rFonts w:ascii="Times" w:eastAsia="Times New Roman" w:hAnsi="Times" w:cs="Times New Roman"/>
                <w:sz w:val="20"/>
                <w:szCs w:val="20"/>
              </w:rPr>
              <w:t>Th/</w:t>
            </w:r>
            <w:r w:rsidRPr="00BD5A3F">
              <w:rPr>
                <w:rFonts w:ascii="Times" w:eastAsia="Times New Roman" w:hAnsi="Times" w:cs="Times New Roman"/>
                <w:sz w:val="20"/>
                <w:szCs w:val="20"/>
                <w:vertAlign w:val="superscript"/>
              </w:rPr>
              <w:t>238</w:t>
            </w:r>
            <w:r w:rsidRPr="00BD5A3F">
              <w:rPr>
                <w:rFonts w:ascii="Times" w:eastAsia="Times New Roman" w:hAnsi="Times" w:cs="Times New Roman"/>
                <w:sz w:val="20"/>
                <w:szCs w:val="20"/>
              </w:rPr>
              <w:t>U value of 3.8.  The errors are arbitrarily assumed to be 50%.</w:t>
            </w:r>
          </w:p>
        </w:tc>
        <w:tc>
          <w:tcPr>
            <w:tcW w:w="700" w:type="dxa"/>
            <w:tcBorders>
              <w:top w:val="nil"/>
              <w:left w:val="nil"/>
              <w:bottom w:val="nil"/>
              <w:right w:val="nil"/>
            </w:tcBorders>
            <w:shd w:val="clear" w:color="auto" w:fill="auto"/>
            <w:noWrap/>
            <w:vAlign w:val="bottom"/>
            <w:hideMark/>
          </w:tcPr>
          <w:p w14:paraId="366AA43D" w14:textId="77777777" w:rsidR="00BD5A3F" w:rsidRPr="00BD5A3F"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342B78E6" w14:textId="77777777" w:rsidR="00BD5A3F" w:rsidRPr="00BD5A3F" w:rsidRDefault="00BD5A3F" w:rsidP="00BD5A3F">
            <w:pPr>
              <w:rPr>
                <w:rFonts w:ascii="Times New Roman" w:eastAsia="Times New Roman" w:hAnsi="Times New Roman" w:cs="Times New Roman"/>
                <w:b/>
                <w:bCs/>
                <w:sz w:val="20"/>
                <w:szCs w:val="20"/>
              </w:rPr>
            </w:pPr>
          </w:p>
        </w:tc>
        <w:tc>
          <w:tcPr>
            <w:tcW w:w="660" w:type="dxa"/>
            <w:tcBorders>
              <w:top w:val="nil"/>
              <w:left w:val="nil"/>
              <w:bottom w:val="nil"/>
              <w:right w:val="nil"/>
            </w:tcBorders>
            <w:shd w:val="clear" w:color="auto" w:fill="auto"/>
            <w:noWrap/>
            <w:vAlign w:val="bottom"/>
            <w:hideMark/>
          </w:tcPr>
          <w:p w14:paraId="02C9E700" w14:textId="77777777" w:rsidR="00BD5A3F" w:rsidRPr="00BD5A3F" w:rsidRDefault="00BD5A3F" w:rsidP="00BD5A3F">
            <w:pPr>
              <w:rPr>
                <w:rFonts w:ascii="Times New Roman" w:eastAsia="Times New Roman" w:hAnsi="Times New Roman" w:cs="Times New Roman"/>
                <w:b/>
                <w:bCs/>
                <w:sz w:val="20"/>
                <w:szCs w:val="20"/>
              </w:rPr>
            </w:pPr>
          </w:p>
        </w:tc>
        <w:tc>
          <w:tcPr>
            <w:tcW w:w="680" w:type="dxa"/>
            <w:tcBorders>
              <w:top w:val="nil"/>
              <w:left w:val="nil"/>
              <w:bottom w:val="nil"/>
              <w:right w:val="nil"/>
            </w:tcBorders>
            <w:shd w:val="clear" w:color="auto" w:fill="auto"/>
            <w:noWrap/>
            <w:vAlign w:val="bottom"/>
            <w:hideMark/>
          </w:tcPr>
          <w:p w14:paraId="16AF9D81"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6A3A21AC" w14:textId="77777777" w:rsidR="00BD5A3F" w:rsidRPr="00BD5A3F"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532AC316"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2A8B09A5" w14:textId="77777777" w:rsidR="00BD5A3F" w:rsidRPr="00BD5A3F" w:rsidRDefault="00BD5A3F" w:rsidP="00BD5A3F">
            <w:pPr>
              <w:rPr>
                <w:rFonts w:ascii="Lucida Bright" w:eastAsia="Times New Roman" w:hAnsi="Lucida Bright" w:cs="Times New Roman"/>
                <w:sz w:val="20"/>
                <w:szCs w:val="20"/>
              </w:rPr>
            </w:pPr>
          </w:p>
        </w:tc>
      </w:tr>
      <w:tr w:rsidR="00BD5A3F" w:rsidRPr="00BD5A3F" w14:paraId="78A4CE42" w14:textId="77777777" w:rsidTr="00BD5A3F">
        <w:trPr>
          <w:trHeight w:val="260"/>
        </w:trPr>
        <w:tc>
          <w:tcPr>
            <w:tcW w:w="8240" w:type="dxa"/>
            <w:gridSpan w:val="11"/>
            <w:tcBorders>
              <w:top w:val="nil"/>
              <w:left w:val="nil"/>
              <w:bottom w:val="nil"/>
              <w:right w:val="nil"/>
            </w:tcBorders>
            <w:shd w:val="clear" w:color="auto" w:fill="auto"/>
            <w:noWrap/>
            <w:vAlign w:val="bottom"/>
            <w:hideMark/>
          </w:tcPr>
          <w:p w14:paraId="4E920C6A" w14:textId="77777777" w:rsidR="00BD5A3F" w:rsidRPr="00BD5A3F" w:rsidRDefault="00BD5A3F" w:rsidP="00BD5A3F">
            <w:pPr>
              <w:rPr>
                <w:rFonts w:ascii="Times New Roman" w:eastAsia="Times New Roman" w:hAnsi="Times New Roman" w:cs="Times New Roman"/>
                <w:sz w:val="20"/>
                <w:szCs w:val="20"/>
              </w:rPr>
            </w:pPr>
            <w:r w:rsidRPr="00BD5A3F">
              <w:rPr>
                <w:rFonts w:ascii="Times New Roman" w:eastAsia="Times New Roman" w:hAnsi="Times New Roman" w:cs="Times New Roman"/>
                <w:sz w:val="20"/>
                <w:szCs w:val="20"/>
              </w:rPr>
              <w:t xml:space="preserve">***B.P. stands for “Before Present” where the “Present” is defined as the year 1950 A.D.  </w:t>
            </w:r>
          </w:p>
        </w:tc>
        <w:tc>
          <w:tcPr>
            <w:tcW w:w="800" w:type="dxa"/>
            <w:tcBorders>
              <w:top w:val="nil"/>
              <w:left w:val="nil"/>
              <w:bottom w:val="nil"/>
              <w:right w:val="nil"/>
            </w:tcBorders>
            <w:shd w:val="clear" w:color="auto" w:fill="auto"/>
            <w:noWrap/>
            <w:vAlign w:val="bottom"/>
            <w:hideMark/>
          </w:tcPr>
          <w:p w14:paraId="53F3266F" w14:textId="77777777" w:rsidR="00BD5A3F" w:rsidRPr="00BD5A3F" w:rsidRDefault="00BD5A3F" w:rsidP="00BD5A3F">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321647B1" w14:textId="77777777" w:rsidR="00BD5A3F" w:rsidRPr="00BD5A3F" w:rsidRDefault="00BD5A3F" w:rsidP="00BD5A3F">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1BC92333" w14:textId="77777777" w:rsidR="00BD5A3F" w:rsidRPr="00BD5A3F" w:rsidRDefault="00BD5A3F" w:rsidP="00BD5A3F">
            <w:pPr>
              <w:rPr>
                <w:rFonts w:ascii="Times New Roman" w:eastAsia="Times New Roman" w:hAnsi="Times New Roman" w:cs="Times New Roman"/>
                <w:b/>
                <w:bCs/>
                <w:sz w:val="20"/>
                <w:szCs w:val="20"/>
              </w:rPr>
            </w:pPr>
          </w:p>
        </w:tc>
        <w:tc>
          <w:tcPr>
            <w:tcW w:w="660" w:type="dxa"/>
            <w:tcBorders>
              <w:top w:val="nil"/>
              <w:left w:val="nil"/>
              <w:bottom w:val="nil"/>
              <w:right w:val="nil"/>
            </w:tcBorders>
            <w:shd w:val="clear" w:color="auto" w:fill="auto"/>
            <w:noWrap/>
            <w:vAlign w:val="bottom"/>
            <w:hideMark/>
          </w:tcPr>
          <w:p w14:paraId="0E582376" w14:textId="77777777" w:rsidR="00BD5A3F" w:rsidRPr="00BD5A3F" w:rsidRDefault="00BD5A3F" w:rsidP="00BD5A3F">
            <w:pPr>
              <w:rPr>
                <w:rFonts w:ascii="Times New Roman" w:eastAsia="Times New Roman" w:hAnsi="Times New Roman" w:cs="Times New Roman"/>
                <w:b/>
                <w:bCs/>
                <w:sz w:val="20"/>
                <w:szCs w:val="20"/>
              </w:rPr>
            </w:pPr>
          </w:p>
        </w:tc>
        <w:tc>
          <w:tcPr>
            <w:tcW w:w="680" w:type="dxa"/>
            <w:tcBorders>
              <w:top w:val="nil"/>
              <w:left w:val="nil"/>
              <w:bottom w:val="nil"/>
              <w:right w:val="nil"/>
            </w:tcBorders>
            <w:shd w:val="clear" w:color="auto" w:fill="auto"/>
            <w:noWrap/>
            <w:vAlign w:val="bottom"/>
            <w:hideMark/>
          </w:tcPr>
          <w:p w14:paraId="665527BA" w14:textId="77777777" w:rsidR="00BD5A3F" w:rsidRPr="00BD5A3F" w:rsidRDefault="00BD5A3F" w:rsidP="00BD5A3F">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6BE1FDCF" w14:textId="77777777" w:rsidR="00BD5A3F" w:rsidRPr="00BD5A3F" w:rsidRDefault="00BD5A3F" w:rsidP="00BD5A3F">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57D2D5F9" w14:textId="77777777" w:rsidR="00BD5A3F" w:rsidRPr="00BD5A3F" w:rsidRDefault="00BD5A3F" w:rsidP="00BD5A3F">
            <w:pPr>
              <w:rPr>
                <w:rFonts w:ascii="Lucida Bright" w:eastAsia="Times New Roman" w:hAnsi="Lucida Bright" w:cs="Times New Roman"/>
                <w:sz w:val="20"/>
                <w:szCs w:val="20"/>
              </w:rPr>
            </w:pPr>
          </w:p>
        </w:tc>
        <w:tc>
          <w:tcPr>
            <w:tcW w:w="1340" w:type="dxa"/>
            <w:tcBorders>
              <w:top w:val="nil"/>
              <w:left w:val="nil"/>
              <w:bottom w:val="nil"/>
              <w:right w:val="nil"/>
            </w:tcBorders>
            <w:shd w:val="clear" w:color="auto" w:fill="auto"/>
            <w:noWrap/>
            <w:vAlign w:val="bottom"/>
            <w:hideMark/>
          </w:tcPr>
          <w:p w14:paraId="4E67A153" w14:textId="77777777" w:rsidR="00BD5A3F" w:rsidRPr="00BD5A3F" w:rsidRDefault="00BD5A3F" w:rsidP="00BD5A3F">
            <w:pPr>
              <w:rPr>
                <w:rFonts w:ascii="Lucida Bright" w:eastAsia="Times New Roman" w:hAnsi="Lucida Bright" w:cs="Times New Roman"/>
                <w:sz w:val="20"/>
                <w:szCs w:val="20"/>
              </w:rPr>
            </w:pPr>
          </w:p>
        </w:tc>
      </w:tr>
    </w:tbl>
    <w:p w14:paraId="41DE5A26" w14:textId="77777777" w:rsidR="00AE1E6F" w:rsidRDefault="007D1296" w:rsidP="00BD5A3F">
      <w:pPr>
        <w:ind w:left="-720"/>
        <w:sectPr w:rsidR="00AE1E6F" w:rsidSect="00142BFC">
          <w:pgSz w:w="15840" w:h="12240" w:orient="landscape"/>
          <w:pgMar w:top="1800" w:right="1440" w:bottom="1800" w:left="360" w:header="720" w:footer="720" w:gutter="0"/>
          <w:cols w:space="720"/>
          <w:docGrid w:linePitch="360"/>
        </w:sectPr>
      </w:pPr>
      <w:r>
        <w:br w:type="page"/>
      </w:r>
    </w:p>
    <w:p w14:paraId="52B20728" w14:textId="4FA32C11" w:rsidR="00E00DE8" w:rsidRDefault="00E00DE8" w:rsidP="000D55DF">
      <w:pPr>
        <w:spacing w:line="480" w:lineRule="auto"/>
      </w:pPr>
      <w:r>
        <w:lastRenderedPageBreak/>
        <w:t>Figure captions</w:t>
      </w:r>
    </w:p>
    <w:p w14:paraId="7BC035AC" w14:textId="77777777" w:rsidR="000D55DF" w:rsidRDefault="000D55DF" w:rsidP="000D55DF">
      <w:pPr>
        <w:spacing w:line="480" w:lineRule="auto"/>
      </w:pPr>
    </w:p>
    <w:p w14:paraId="0E04F324" w14:textId="41DD46F9" w:rsidR="00E00DE8" w:rsidRDefault="00E00DE8" w:rsidP="000D55DF">
      <w:pPr>
        <w:spacing w:line="480" w:lineRule="auto"/>
      </w:pPr>
      <w:r>
        <w:t>Figure 1.</w:t>
      </w:r>
      <w:r w:rsidR="007B607F">
        <w:t xml:space="preserve">  Age versus depth for stalagmite P10-H1.  Error bars are 2 sigma.</w:t>
      </w:r>
    </w:p>
    <w:p w14:paraId="15DDDEFC" w14:textId="77777777" w:rsidR="000D55DF" w:rsidRDefault="000D55DF" w:rsidP="000D55DF">
      <w:pPr>
        <w:spacing w:line="480" w:lineRule="auto"/>
      </w:pPr>
    </w:p>
    <w:p w14:paraId="298B80D3" w14:textId="1950D905" w:rsidR="00E00DE8" w:rsidRDefault="00E00DE8" w:rsidP="000D55DF">
      <w:pPr>
        <w:spacing w:line="480" w:lineRule="auto"/>
      </w:pPr>
      <w:r>
        <w:t>Figure 2.</w:t>
      </w:r>
      <w:r w:rsidR="007B607F">
        <w:t xml:space="preserve">  </w:t>
      </w:r>
      <w:r w:rsidR="007B607F" w:rsidRPr="007B607F">
        <w:rPr>
          <w:rFonts w:ascii="Symbol" w:hAnsi="Symbol"/>
        </w:rPr>
        <w:t></w:t>
      </w:r>
      <w:r w:rsidR="007B607F" w:rsidRPr="007B607F">
        <w:rPr>
          <w:vertAlign w:val="superscript"/>
        </w:rPr>
        <w:t>18</w:t>
      </w:r>
      <w:r w:rsidR="007B607F">
        <w:t xml:space="preserve">O values for P10-H1 from Huagapo Cave in Peru plotted together with </w:t>
      </w:r>
      <w:r w:rsidR="007B607F" w:rsidRPr="007B607F">
        <w:rPr>
          <w:rFonts w:ascii="Symbol" w:hAnsi="Symbol"/>
        </w:rPr>
        <w:t></w:t>
      </w:r>
      <w:r w:rsidR="007B607F" w:rsidRPr="007B607F">
        <w:rPr>
          <w:vertAlign w:val="superscript"/>
        </w:rPr>
        <w:t>18</w:t>
      </w:r>
      <w:r w:rsidR="007B607F">
        <w:t>O values for stalagmites from Hulu Cave in China (Kelly et al., 2006) and the insolation curve for 10</w:t>
      </w:r>
      <w:r w:rsidR="008F11C6">
        <w:rPr>
          <w:rFonts w:ascii="Cambria" w:hAnsi="Cambria"/>
        </w:rPr>
        <w:t>°</w:t>
      </w:r>
      <w:r w:rsidR="008F11C6">
        <w:t xml:space="preserve">S in January </w:t>
      </w:r>
      <w:r w:rsidR="008F11C6">
        <w:fldChar w:fldCharType="begin"/>
      </w:r>
      <w:r w:rsidR="00B61709">
        <w:instrText xml:space="preserve"> ADDIN ZOTERO_ITEM CSL_CITATION {"citationID":"2b1kfmkfnt","properties":{"formattedCitation":"(Berger, 1978)","plainCitation":"(Berger, 1978)"},"citationItems":[{"id":621,"uris":["http://zotero.org/users/local/ylr7WDKU/items/PAZCV5FH"],"uri":["http://zotero.org/users/local/ylr7WDKU/items/PAZCV5FH</w:instrText>
      </w:r>
      <w:r w:rsidR="002B4F5A">
        <w:instrText>"]}],"</w:instrText>
      </w:r>
      <w:r w:rsidR="00B61709">
        <w:instrText xml:space="preserve">schema":"https://github.com/citation-style-language/schema/raw/master/csl-citation.json"} </w:instrText>
      </w:r>
      <w:r w:rsidR="008F11C6">
        <w:fldChar w:fldCharType="separate"/>
      </w:r>
      <w:r w:rsidR="008F11C6">
        <w:rPr>
          <w:noProof/>
        </w:rPr>
        <w:t>(Berger, 1978)</w:t>
      </w:r>
      <w:r w:rsidR="008F11C6">
        <w:fldChar w:fldCharType="end"/>
      </w:r>
      <w:r w:rsidR="008F11C6">
        <w:t>.</w:t>
      </w:r>
    </w:p>
    <w:p w14:paraId="5F49EFBB" w14:textId="77777777" w:rsidR="00E00DE8" w:rsidRDefault="00E00DE8" w:rsidP="000D55DF">
      <w:pPr>
        <w:spacing w:line="480" w:lineRule="auto"/>
      </w:pPr>
    </w:p>
    <w:p w14:paraId="327EBB8A" w14:textId="77777777" w:rsidR="008F11C6" w:rsidRDefault="008F11C6" w:rsidP="000D55DF">
      <w:pPr>
        <w:spacing w:line="480" w:lineRule="auto"/>
      </w:pPr>
      <w:r>
        <w:t xml:space="preserve">Figure 3.  </w:t>
      </w:r>
      <w:r w:rsidR="0067332C">
        <w:t xml:space="preserve">Oxygen isotope proxies for changes in the intensity of the South American Summer Monsoon , SASM (Cruz et al., 2005 and this paper), East Asian Monsoon, EASM (Kelly et al., 2006) and Greenland temperatures, NGRIP </w:t>
      </w:r>
      <w:r w:rsidR="002B4F5A">
        <w:t xml:space="preserve"> </w:t>
      </w:r>
      <w:r w:rsidR="002B4F5A">
        <w:fldChar w:fldCharType="begin"/>
      </w:r>
      <w:r w:rsidR="002B4F5A">
        <w:instrText xml:space="preserve"> ADDIN ZOTERO_ITEM CSL_CITATION {"citationID":"2nh42i2g8n","properties":{"formattedCitation":"(Andersen et al., 2004)","plainCitation":"(Andersen et al., 2004)"},"citationItems":[{"id":469,"uris":["http://zotero.org/users/local/ylr7WDKU/items/6NVAT9ZM"],"uri":["http://zotero.org/users/local/ylr7WDKU/items/6NVAT9ZM"]}],"schema":"https://github.com/citation-style-language/schema/raw/master/csl-citation.json"} </w:instrText>
      </w:r>
      <w:r w:rsidR="002B4F5A">
        <w:fldChar w:fldCharType="separate"/>
      </w:r>
      <w:r w:rsidR="002B4F5A">
        <w:rPr>
          <w:noProof/>
        </w:rPr>
        <w:t>(Andersen et al., 2004)</w:t>
      </w:r>
      <w:r w:rsidR="002B4F5A">
        <w:fldChar w:fldCharType="end"/>
      </w:r>
      <w:r w:rsidR="002B4F5A">
        <w:t xml:space="preserve">, atmospheric methane concentrations from the Epica Dome C ice core </w:t>
      </w:r>
      <w:r w:rsidR="002B4F5A">
        <w:fldChar w:fldCharType="begin"/>
      </w:r>
      <w:r w:rsidR="00FB16CB">
        <w:instrText xml:space="preserve"> ADDIN ZOTERO_ITEM CSL_CITATION {"citationID":"1n52khpbun","properties":{"formattedCitation":"(Spahni et al., 2005)","plainCitation":"(Spahni et al., 2005)"},"citationItems":[{"id":627,"uris":["http://zotero.org/users/local/ylr7WDKU/items/T5STIW9B"],"uri":["http://zotero.org/users/local/ylr7WDKU/items/T5STIW9B"]}],"schema":"https://github.com/citation-style-language/schema/raw/master/csl-citation.json"} </w:instrText>
      </w:r>
      <w:r w:rsidR="002B4F5A">
        <w:fldChar w:fldCharType="separate"/>
      </w:r>
      <w:r w:rsidR="002B4F5A">
        <w:rPr>
          <w:noProof/>
        </w:rPr>
        <w:t>(Spahni et al., 2005)</w:t>
      </w:r>
      <w:r w:rsidR="002B4F5A">
        <w:fldChar w:fldCharType="end"/>
      </w:r>
      <w:r w:rsidR="002B4F5A">
        <w:t xml:space="preserve"> and </w:t>
      </w:r>
      <w:r w:rsidR="002B4F5A" w:rsidRPr="007B607F">
        <w:rPr>
          <w:rFonts w:ascii="Symbol" w:hAnsi="Symbol"/>
        </w:rPr>
        <w:t></w:t>
      </w:r>
      <w:r w:rsidR="002B4F5A" w:rsidRPr="007B607F">
        <w:rPr>
          <w:vertAlign w:val="superscript"/>
        </w:rPr>
        <w:t>18</w:t>
      </w:r>
      <w:r w:rsidR="002B4F5A">
        <w:t xml:space="preserve">O values for atmospheric oxygen from </w:t>
      </w:r>
      <w:r w:rsidR="00FB16CB">
        <w:t xml:space="preserve">the Vostok ice core </w:t>
      </w:r>
      <w:r w:rsidR="00FB16CB">
        <w:fldChar w:fldCharType="begin"/>
      </w:r>
      <w:r w:rsidR="00FB16CB">
        <w:instrText xml:space="preserve"> ADDIN ZOTERO_ITEM CSL_CITATION {"citationID":"1jeesu761t","properties":{"formattedCitation":"(Petit et al., 1999)","plainCitation":"(Petit et al., 1999)"},"citationItems":[{"id":631,"uris":["http://zotero.org/users/local/ylr7WDKU/items/K3DQCGZW"],"uri":["http://zotero.org/users/local/ylr7WDKU/items/K3DQCGZW"],"itemData":{"id":631,"type":"article-journal","title":"Climate and atmospheric history of the past 420,000 years from the Vostok ice core, Antarctica","container-title":"Nature","page":"429-436","volume":"399","issue":"6735","abstract":"The recent completion of drilling at Vostok station in East Antarctica has allowed the extension of the ice record of atmospheric composition and climate to the past four glacial–interglacial cycles. The succession of changes through each climate cycle and termination was similar, and atmospheric and climate properties oscillated between stable bounds. Interglacial periods differed in temporal evolution and duration. Atmospheric concentrations of carbon dioxide and methane correlate well with Antarctic air-temperature throughout the record. Present-day atmospheric burdens of these two important greenhouse gases seem to have been unprecedented during the past 420,000 years.","DOI":"10.1038/20859","journalAbbreviation":"Nature","language":"en","author":[{"family":"Petit","given":"J. R."},{"family":"Jouzel","given":"J."},{"family":"Raynaud","given":"D."},{"family":"Barkov","given":"N. I."},{"family":"Barnola","given":"J.-M."},{"family":"Basile","given":"I."},{"family":"Bender","given":"M."},{"family":"Chappellaz","given":"J."},{"family":"Davis","given":"M."},{"family":"Delaygue","given":"G."},{"family":"Delmotte","given":"M."},{"family":"Kotlyakov","given":"V. M."},{"family":"Legrand","given":"M."},{"family":"Lipenkov","given":"V. Y."},{"family":"Lorius","given":"C."},{"family":"PÉpin","given":"L."},{"family":"Ritz","given":"C."},{"family":"Saltzman","given":"E."},{"family":"Stievenard","given":"M."}],"issued":{"year":1999,"month":6,"day":3},"accessed":{"year":2014,"month":7,"day":16},"page-first":"429"}}],"schema":"https://github.com/citation-style-language/schema/raw/master/csl-citation.json"} </w:instrText>
      </w:r>
      <w:r w:rsidR="00FB16CB">
        <w:fldChar w:fldCharType="separate"/>
      </w:r>
      <w:r w:rsidR="00FB16CB">
        <w:rPr>
          <w:noProof/>
        </w:rPr>
        <w:t>(Petit et al., 1999)</w:t>
      </w:r>
      <w:r w:rsidR="00FB16CB">
        <w:fldChar w:fldCharType="end"/>
      </w:r>
      <w:r w:rsidR="00FB16CB">
        <w:t>.</w:t>
      </w:r>
      <w:r w:rsidR="00487F4E">
        <w:t xml:space="preserve"> The records are all on independent timescales.</w:t>
      </w:r>
    </w:p>
    <w:p w14:paraId="42ED7878" w14:textId="77777777" w:rsidR="008F11C6" w:rsidRDefault="008F11C6" w:rsidP="000D55DF">
      <w:pPr>
        <w:spacing w:line="480" w:lineRule="auto"/>
      </w:pPr>
      <w:r>
        <w:br w:type="page"/>
      </w:r>
    </w:p>
    <w:p w14:paraId="2B337D8B" w14:textId="77777777" w:rsidR="00E00DE8" w:rsidRDefault="00E00DE8"/>
    <w:p w14:paraId="71641130" w14:textId="77777777" w:rsidR="007D1296" w:rsidRDefault="007D1296"/>
    <w:p w14:paraId="26F45A85" w14:textId="77777777" w:rsidR="00946E5C" w:rsidRDefault="007D1296" w:rsidP="00B90AF7">
      <w:pPr>
        <w:spacing w:line="480" w:lineRule="auto"/>
      </w:pPr>
      <w:r>
        <w:t>Figure 1.</w:t>
      </w:r>
    </w:p>
    <w:p w14:paraId="0741725E" w14:textId="77777777" w:rsidR="007D1296" w:rsidRDefault="007D1296" w:rsidP="00B90AF7">
      <w:pPr>
        <w:spacing w:line="480" w:lineRule="auto"/>
      </w:pPr>
      <w:r>
        <w:rPr>
          <w:noProof/>
        </w:rPr>
        <w:drawing>
          <wp:inline distT="0" distB="0" distL="0" distR="0" wp14:anchorId="5E9D8787" wp14:editId="5C65202E">
            <wp:extent cx="4841121" cy="5434411"/>
            <wp:effectExtent l="0" t="0" r="1079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H1agedepth.jpg"/>
                    <pic:cNvPicPr/>
                  </pic:nvPicPr>
                  <pic:blipFill>
                    <a:blip r:embed="rId10">
                      <a:extLst>
                        <a:ext uri="{28A0092B-C50C-407E-A947-70E740481C1C}">
                          <a14:useLocalDpi xmlns:a14="http://schemas.microsoft.com/office/drawing/2010/main" val="0"/>
                        </a:ext>
                      </a:extLst>
                    </a:blip>
                    <a:stretch>
                      <a:fillRect/>
                    </a:stretch>
                  </pic:blipFill>
                  <pic:spPr>
                    <a:xfrm>
                      <a:off x="0" y="0"/>
                      <a:ext cx="4841121" cy="5434411"/>
                    </a:xfrm>
                    <a:prstGeom prst="rect">
                      <a:avLst/>
                    </a:prstGeom>
                  </pic:spPr>
                </pic:pic>
              </a:graphicData>
            </a:graphic>
          </wp:inline>
        </w:drawing>
      </w:r>
    </w:p>
    <w:p w14:paraId="74CD2FA6" w14:textId="77777777" w:rsidR="00946E5C" w:rsidRDefault="00946E5C" w:rsidP="00B90AF7">
      <w:pPr>
        <w:spacing w:line="480" w:lineRule="auto"/>
      </w:pPr>
      <w:r>
        <w:br w:type="page"/>
      </w:r>
    </w:p>
    <w:p w14:paraId="7EA9F9A6" w14:textId="77777777" w:rsidR="00946E5C" w:rsidRDefault="007D1296" w:rsidP="00B90AF7">
      <w:pPr>
        <w:spacing w:line="480" w:lineRule="auto"/>
      </w:pPr>
      <w:r>
        <w:lastRenderedPageBreak/>
        <w:t>Figure 2</w:t>
      </w:r>
    </w:p>
    <w:p w14:paraId="59DB495E" w14:textId="77777777" w:rsidR="00946E5C" w:rsidRDefault="00946E5C" w:rsidP="00B90AF7">
      <w:pPr>
        <w:spacing w:line="480" w:lineRule="auto"/>
      </w:pPr>
    </w:p>
    <w:p w14:paraId="4C9A82EC" w14:textId="77777777" w:rsidR="003F03AE" w:rsidRDefault="00946E5C" w:rsidP="00B90AF7">
      <w:pPr>
        <w:spacing w:line="480" w:lineRule="auto"/>
      </w:pPr>
      <w:r w:rsidRPr="00946E5C">
        <w:rPr>
          <w:position w:val="-4"/>
        </w:rPr>
        <w:object w:dxaOrig="180" w:dyaOrig="260" w14:anchorId="3EC67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2.65pt" o:ole="">
            <v:imagedata r:id="rId11" o:title=""/>
          </v:shape>
          <o:OLEObject Type="Embed" ProgID="Equation.3" ShapeID="_x0000_i1025" DrawAspect="Content" ObjectID="_1368604412" r:id="rId12"/>
        </w:object>
      </w:r>
      <w:r>
        <w:rPr>
          <w:noProof/>
        </w:rPr>
        <w:drawing>
          <wp:inline distT="0" distB="0" distL="0" distR="0" wp14:anchorId="2E907242" wp14:editId="767C16E1">
            <wp:extent cx="5486400" cy="5494655"/>
            <wp:effectExtent l="0" t="0" r="0" b="0"/>
            <wp:docPr id="4" name="Picture 4" descr="Macintosh HD:Users:stephenburns:Desktop:Fig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enburns:Desktop:Fig1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94655"/>
                    </a:xfrm>
                    <a:prstGeom prst="rect">
                      <a:avLst/>
                    </a:prstGeom>
                    <a:noFill/>
                    <a:ln>
                      <a:noFill/>
                    </a:ln>
                  </pic:spPr>
                </pic:pic>
              </a:graphicData>
            </a:graphic>
          </wp:inline>
        </w:drawing>
      </w:r>
    </w:p>
    <w:p w14:paraId="1653AAFE" w14:textId="22D398C8" w:rsidR="00946E5C" w:rsidRDefault="00946E5C" w:rsidP="00B90AF7">
      <w:pPr>
        <w:spacing w:line="480" w:lineRule="auto"/>
      </w:pPr>
      <w:r>
        <w:br w:type="page"/>
      </w:r>
    </w:p>
    <w:p w14:paraId="3E67477D" w14:textId="075803CD" w:rsidR="00946E5C" w:rsidRDefault="007D1296" w:rsidP="00B90AF7">
      <w:pPr>
        <w:spacing w:line="480" w:lineRule="auto"/>
      </w:pPr>
      <w:r>
        <w:lastRenderedPageBreak/>
        <w:t>Figure 3</w:t>
      </w:r>
    </w:p>
    <w:p w14:paraId="1B2E4ECB" w14:textId="77777777" w:rsidR="00946E5C" w:rsidRDefault="00946E5C" w:rsidP="00B90AF7">
      <w:pPr>
        <w:spacing w:line="480" w:lineRule="auto"/>
      </w:pPr>
    </w:p>
    <w:p w14:paraId="5A91870E" w14:textId="77777777" w:rsidR="00946E5C" w:rsidRDefault="00946E5C" w:rsidP="00B90AF7">
      <w:pPr>
        <w:spacing w:line="480" w:lineRule="auto"/>
      </w:pPr>
    </w:p>
    <w:p w14:paraId="2A990793" w14:textId="476F86E8" w:rsidR="00CF500C" w:rsidRDefault="00721A4C" w:rsidP="00B90AF7">
      <w:pPr>
        <w:spacing w:line="480" w:lineRule="auto"/>
      </w:pPr>
      <w:r>
        <w:rPr>
          <w:noProof/>
        </w:rPr>
        <w:drawing>
          <wp:inline distT="0" distB="0" distL="0" distR="0" wp14:anchorId="56D84A25" wp14:editId="42D04A3C">
            <wp:extent cx="5478145" cy="6654800"/>
            <wp:effectExtent l="0" t="0" r="0" b="0"/>
            <wp:docPr id="6" name="Picture 6" descr="Macintosh HD:Users:stephenburns:Desktop:MIS5all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phenburns:Desktop:MIS5all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6654800"/>
                    </a:xfrm>
                    <a:prstGeom prst="rect">
                      <a:avLst/>
                    </a:prstGeom>
                    <a:noFill/>
                    <a:ln>
                      <a:noFill/>
                    </a:ln>
                  </pic:spPr>
                </pic:pic>
              </a:graphicData>
            </a:graphic>
          </wp:inline>
        </w:drawing>
      </w:r>
    </w:p>
    <w:p w14:paraId="6372D558" w14:textId="77777777" w:rsidR="00946E5C" w:rsidRDefault="00946E5C" w:rsidP="00BA6016">
      <w:bookmarkStart w:id="0" w:name="_GoBack"/>
      <w:bookmarkEnd w:id="0"/>
    </w:p>
    <w:sectPr w:rsidR="00946E5C" w:rsidSect="00142BFC">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E6010B" w15:done="0"/>
  <w15:commentEx w15:paraId="635F69D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F00E8" w14:textId="77777777" w:rsidR="00803CCC" w:rsidRDefault="00803CCC" w:rsidP="00C040EB">
      <w:r>
        <w:separator/>
      </w:r>
    </w:p>
  </w:endnote>
  <w:endnote w:type="continuationSeparator" w:id="0">
    <w:p w14:paraId="0929A409" w14:textId="77777777" w:rsidR="00803CCC" w:rsidRDefault="00803CCC" w:rsidP="00C040EB">
      <w:r>
        <w:continuationSeparator/>
      </w:r>
    </w:p>
  </w:endnote>
  <w:endnote w:type="continuationNotice" w:id="1">
    <w:p w14:paraId="0E1CECAF" w14:textId="77777777" w:rsidR="00803CCC" w:rsidRDefault="00803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Lucida Bright">
    <w:panose1 w:val="0204060205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221877"/>
      <w:docPartObj>
        <w:docPartGallery w:val="Page Numbers (Bottom of Page)"/>
        <w:docPartUnique/>
      </w:docPartObj>
    </w:sdtPr>
    <w:sdtEndPr>
      <w:rPr>
        <w:noProof/>
      </w:rPr>
    </w:sdtEndPr>
    <w:sdtContent>
      <w:p w14:paraId="37117A8A" w14:textId="1ABEF0ED" w:rsidR="00803CCC" w:rsidRDefault="00803CCC">
        <w:pPr>
          <w:pStyle w:val="Footer"/>
          <w:jc w:val="center"/>
        </w:pPr>
        <w:r>
          <w:fldChar w:fldCharType="begin"/>
        </w:r>
        <w:r>
          <w:instrText xml:space="preserve"> PAGE   \* MERGEFORMAT </w:instrText>
        </w:r>
        <w:r>
          <w:fldChar w:fldCharType="separate"/>
        </w:r>
        <w:r w:rsidR="00BA6016">
          <w:rPr>
            <w:noProof/>
          </w:rPr>
          <w:t>1</w:t>
        </w:r>
        <w:r>
          <w:rPr>
            <w:noProof/>
          </w:rPr>
          <w:fldChar w:fldCharType="end"/>
        </w:r>
      </w:p>
    </w:sdtContent>
  </w:sdt>
  <w:p w14:paraId="7C24BF99" w14:textId="77777777" w:rsidR="00803CCC" w:rsidRDefault="00803C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A6DC1" w14:textId="77777777" w:rsidR="00803CCC" w:rsidRDefault="00803CCC" w:rsidP="00C040EB">
      <w:r>
        <w:separator/>
      </w:r>
    </w:p>
  </w:footnote>
  <w:footnote w:type="continuationSeparator" w:id="0">
    <w:p w14:paraId="1F6A0197" w14:textId="77777777" w:rsidR="00803CCC" w:rsidRDefault="00803CCC" w:rsidP="00C040EB">
      <w:r>
        <w:continuationSeparator/>
      </w:r>
    </w:p>
  </w:footnote>
  <w:footnote w:type="continuationNotice" w:id="1">
    <w:p w14:paraId="767AA1AE" w14:textId="77777777" w:rsidR="00803CCC" w:rsidRDefault="00803CCC"/>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a Kanner">
    <w15:presenceInfo w15:providerId="None" w15:userId="Lisa Kan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084"/>
    <w:rsid w:val="00007EB7"/>
    <w:rsid w:val="00020AE6"/>
    <w:rsid w:val="00041B95"/>
    <w:rsid w:val="00052FDD"/>
    <w:rsid w:val="00053ECB"/>
    <w:rsid w:val="00053F08"/>
    <w:rsid w:val="00056EC8"/>
    <w:rsid w:val="0008415C"/>
    <w:rsid w:val="000871FC"/>
    <w:rsid w:val="000B129F"/>
    <w:rsid w:val="000C3084"/>
    <w:rsid w:val="000C7F78"/>
    <w:rsid w:val="000D0CF3"/>
    <w:rsid w:val="000D55DF"/>
    <w:rsid w:val="000E41DA"/>
    <w:rsid w:val="000F2AAC"/>
    <w:rsid w:val="000F5CE5"/>
    <w:rsid w:val="001073A0"/>
    <w:rsid w:val="00111422"/>
    <w:rsid w:val="0011523F"/>
    <w:rsid w:val="001206CF"/>
    <w:rsid w:val="00122923"/>
    <w:rsid w:val="00130B51"/>
    <w:rsid w:val="00136147"/>
    <w:rsid w:val="001413FA"/>
    <w:rsid w:val="00142BFC"/>
    <w:rsid w:val="0015796D"/>
    <w:rsid w:val="00157BD4"/>
    <w:rsid w:val="00157BE1"/>
    <w:rsid w:val="00165BB5"/>
    <w:rsid w:val="00167CAC"/>
    <w:rsid w:val="00175985"/>
    <w:rsid w:val="00186A4D"/>
    <w:rsid w:val="001A0326"/>
    <w:rsid w:val="001A133C"/>
    <w:rsid w:val="001A3911"/>
    <w:rsid w:val="001A4253"/>
    <w:rsid w:val="001B04E3"/>
    <w:rsid w:val="001B3E0B"/>
    <w:rsid w:val="001C4D51"/>
    <w:rsid w:val="001D6E20"/>
    <w:rsid w:val="0020305F"/>
    <w:rsid w:val="00212A84"/>
    <w:rsid w:val="00217DFA"/>
    <w:rsid w:val="0022418B"/>
    <w:rsid w:val="00235E10"/>
    <w:rsid w:val="00235E6C"/>
    <w:rsid w:val="002418E6"/>
    <w:rsid w:val="00252B19"/>
    <w:rsid w:val="0025388D"/>
    <w:rsid w:val="0028440A"/>
    <w:rsid w:val="00286538"/>
    <w:rsid w:val="00291A16"/>
    <w:rsid w:val="00295FC8"/>
    <w:rsid w:val="002976BD"/>
    <w:rsid w:val="002A2373"/>
    <w:rsid w:val="002B4F5A"/>
    <w:rsid w:val="002C72BC"/>
    <w:rsid w:val="002D3FA7"/>
    <w:rsid w:val="002D4E8E"/>
    <w:rsid w:val="002E102B"/>
    <w:rsid w:val="002E78BC"/>
    <w:rsid w:val="00311531"/>
    <w:rsid w:val="00315675"/>
    <w:rsid w:val="00321528"/>
    <w:rsid w:val="00326BA2"/>
    <w:rsid w:val="0033255C"/>
    <w:rsid w:val="003449C2"/>
    <w:rsid w:val="00370C52"/>
    <w:rsid w:val="0037314A"/>
    <w:rsid w:val="00374A17"/>
    <w:rsid w:val="003764C3"/>
    <w:rsid w:val="00381548"/>
    <w:rsid w:val="003C1369"/>
    <w:rsid w:val="003D092A"/>
    <w:rsid w:val="003D6696"/>
    <w:rsid w:val="003E3B21"/>
    <w:rsid w:val="003F03AE"/>
    <w:rsid w:val="00421400"/>
    <w:rsid w:val="00422B62"/>
    <w:rsid w:val="004263B2"/>
    <w:rsid w:val="00433EE4"/>
    <w:rsid w:val="0043570D"/>
    <w:rsid w:val="00435995"/>
    <w:rsid w:val="0045110E"/>
    <w:rsid w:val="00456079"/>
    <w:rsid w:val="00457A40"/>
    <w:rsid w:val="00462019"/>
    <w:rsid w:val="00487F4E"/>
    <w:rsid w:val="00494260"/>
    <w:rsid w:val="004A4715"/>
    <w:rsid w:val="004A6AD0"/>
    <w:rsid w:val="004C1969"/>
    <w:rsid w:val="004F3BF3"/>
    <w:rsid w:val="005059A5"/>
    <w:rsid w:val="00515997"/>
    <w:rsid w:val="005221D8"/>
    <w:rsid w:val="00525BD7"/>
    <w:rsid w:val="00554DFF"/>
    <w:rsid w:val="00555001"/>
    <w:rsid w:val="00560337"/>
    <w:rsid w:val="0058629D"/>
    <w:rsid w:val="005A0EE5"/>
    <w:rsid w:val="005E49D5"/>
    <w:rsid w:val="005F7BD2"/>
    <w:rsid w:val="006004E7"/>
    <w:rsid w:val="00615AE7"/>
    <w:rsid w:val="0062763B"/>
    <w:rsid w:val="00653AEB"/>
    <w:rsid w:val="00655086"/>
    <w:rsid w:val="00661E12"/>
    <w:rsid w:val="00667CF0"/>
    <w:rsid w:val="00670080"/>
    <w:rsid w:val="0067332C"/>
    <w:rsid w:val="00676A51"/>
    <w:rsid w:val="00692F5D"/>
    <w:rsid w:val="006A4C00"/>
    <w:rsid w:val="006A6812"/>
    <w:rsid w:val="006B4F58"/>
    <w:rsid w:val="006B5699"/>
    <w:rsid w:val="006B5A4B"/>
    <w:rsid w:val="006C1BCF"/>
    <w:rsid w:val="006C6161"/>
    <w:rsid w:val="006E0A1A"/>
    <w:rsid w:val="006F6589"/>
    <w:rsid w:val="007210E5"/>
    <w:rsid w:val="00721A4C"/>
    <w:rsid w:val="00721FA5"/>
    <w:rsid w:val="007251A7"/>
    <w:rsid w:val="00736443"/>
    <w:rsid w:val="00737B1B"/>
    <w:rsid w:val="00747B82"/>
    <w:rsid w:val="007525C7"/>
    <w:rsid w:val="00773414"/>
    <w:rsid w:val="00782C3B"/>
    <w:rsid w:val="00787886"/>
    <w:rsid w:val="00797AA5"/>
    <w:rsid w:val="007A0B06"/>
    <w:rsid w:val="007B0324"/>
    <w:rsid w:val="007B508F"/>
    <w:rsid w:val="007B578C"/>
    <w:rsid w:val="007B5E73"/>
    <w:rsid w:val="007B607F"/>
    <w:rsid w:val="007C1D5A"/>
    <w:rsid w:val="007D1296"/>
    <w:rsid w:val="007D3923"/>
    <w:rsid w:val="007F09C6"/>
    <w:rsid w:val="00802997"/>
    <w:rsid w:val="00803CCC"/>
    <w:rsid w:val="008172F3"/>
    <w:rsid w:val="00835952"/>
    <w:rsid w:val="00854866"/>
    <w:rsid w:val="00862167"/>
    <w:rsid w:val="00887DB3"/>
    <w:rsid w:val="008902CA"/>
    <w:rsid w:val="00890ACE"/>
    <w:rsid w:val="00893E9F"/>
    <w:rsid w:val="008A71FE"/>
    <w:rsid w:val="008B0AB7"/>
    <w:rsid w:val="008C0B5F"/>
    <w:rsid w:val="008C7665"/>
    <w:rsid w:val="008F11C6"/>
    <w:rsid w:val="008F7CCB"/>
    <w:rsid w:val="00905E14"/>
    <w:rsid w:val="00923579"/>
    <w:rsid w:val="00933C5A"/>
    <w:rsid w:val="00944CBE"/>
    <w:rsid w:val="00946E5C"/>
    <w:rsid w:val="00976E10"/>
    <w:rsid w:val="009D5460"/>
    <w:rsid w:val="009E5A48"/>
    <w:rsid w:val="009F79C6"/>
    <w:rsid w:val="00A05AAD"/>
    <w:rsid w:val="00A11A94"/>
    <w:rsid w:val="00A202B4"/>
    <w:rsid w:val="00A32CD0"/>
    <w:rsid w:val="00A42884"/>
    <w:rsid w:val="00A6082A"/>
    <w:rsid w:val="00A60C17"/>
    <w:rsid w:val="00A77D4F"/>
    <w:rsid w:val="00A80F93"/>
    <w:rsid w:val="00A9495A"/>
    <w:rsid w:val="00A95950"/>
    <w:rsid w:val="00AA0FA2"/>
    <w:rsid w:val="00AC0A76"/>
    <w:rsid w:val="00AE12FD"/>
    <w:rsid w:val="00AE1E6F"/>
    <w:rsid w:val="00AF52B9"/>
    <w:rsid w:val="00AF6A32"/>
    <w:rsid w:val="00B123ED"/>
    <w:rsid w:val="00B42948"/>
    <w:rsid w:val="00B457F8"/>
    <w:rsid w:val="00B470B1"/>
    <w:rsid w:val="00B53B11"/>
    <w:rsid w:val="00B61709"/>
    <w:rsid w:val="00B766CC"/>
    <w:rsid w:val="00B90AF7"/>
    <w:rsid w:val="00B937B6"/>
    <w:rsid w:val="00B95519"/>
    <w:rsid w:val="00B9614F"/>
    <w:rsid w:val="00BA6016"/>
    <w:rsid w:val="00BA7440"/>
    <w:rsid w:val="00BD4316"/>
    <w:rsid w:val="00BD50FE"/>
    <w:rsid w:val="00BD5A3F"/>
    <w:rsid w:val="00BE319E"/>
    <w:rsid w:val="00BF7F7F"/>
    <w:rsid w:val="00C040EB"/>
    <w:rsid w:val="00C11CE7"/>
    <w:rsid w:val="00C13704"/>
    <w:rsid w:val="00C13A8D"/>
    <w:rsid w:val="00C2040C"/>
    <w:rsid w:val="00C34319"/>
    <w:rsid w:val="00C3772A"/>
    <w:rsid w:val="00C47758"/>
    <w:rsid w:val="00C801C3"/>
    <w:rsid w:val="00C866DA"/>
    <w:rsid w:val="00CA5DB4"/>
    <w:rsid w:val="00CD4F3C"/>
    <w:rsid w:val="00CF2A00"/>
    <w:rsid w:val="00CF500C"/>
    <w:rsid w:val="00D027DD"/>
    <w:rsid w:val="00D03268"/>
    <w:rsid w:val="00D0521A"/>
    <w:rsid w:val="00D0796F"/>
    <w:rsid w:val="00D17E66"/>
    <w:rsid w:val="00D20CA0"/>
    <w:rsid w:val="00D23BCA"/>
    <w:rsid w:val="00D264EB"/>
    <w:rsid w:val="00D34611"/>
    <w:rsid w:val="00D71213"/>
    <w:rsid w:val="00D74E59"/>
    <w:rsid w:val="00D76711"/>
    <w:rsid w:val="00D80426"/>
    <w:rsid w:val="00D935C7"/>
    <w:rsid w:val="00D972DC"/>
    <w:rsid w:val="00DA6C5F"/>
    <w:rsid w:val="00DB38E0"/>
    <w:rsid w:val="00DC3B7B"/>
    <w:rsid w:val="00DC5B27"/>
    <w:rsid w:val="00DD69B8"/>
    <w:rsid w:val="00DE47F7"/>
    <w:rsid w:val="00E00DE8"/>
    <w:rsid w:val="00E124C1"/>
    <w:rsid w:val="00E2615F"/>
    <w:rsid w:val="00E47D0F"/>
    <w:rsid w:val="00E67051"/>
    <w:rsid w:val="00E827BA"/>
    <w:rsid w:val="00E95E44"/>
    <w:rsid w:val="00E96811"/>
    <w:rsid w:val="00EB4CF9"/>
    <w:rsid w:val="00EC6064"/>
    <w:rsid w:val="00ED15C9"/>
    <w:rsid w:val="00EE7BDA"/>
    <w:rsid w:val="00EF1F34"/>
    <w:rsid w:val="00EF4477"/>
    <w:rsid w:val="00EF77FF"/>
    <w:rsid w:val="00F1580E"/>
    <w:rsid w:val="00F27522"/>
    <w:rsid w:val="00F3138A"/>
    <w:rsid w:val="00F63C43"/>
    <w:rsid w:val="00F83002"/>
    <w:rsid w:val="00F91DD4"/>
    <w:rsid w:val="00FA727A"/>
    <w:rsid w:val="00FB16CB"/>
    <w:rsid w:val="00FC224E"/>
    <w:rsid w:val="00FC4CA4"/>
    <w:rsid w:val="00FD18B8"/>
    <w:rsid w:val="00FE03A5"/>
    <w:rsid w:val="00FE7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D5B6B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2BC"/>
    <w:rPr>
      <w:color w:val="0000FF" w:themeColor="hyperlink"/>
      <w:u w:val="single"/>
    </w:rPr>
  </w:style>
  <w:style w:type="character" w:styleId="FollowedHyperlink">
    <w:name w:val="FollowedHyperlink"/>
    <w:basedOn w:val="DefaultParagraphFont"/>
    <w:uiPriority w:val="99"/>
    <w:semiHidden/>
    <w:unhideWhenUsed/>
    <w:rsid w:val="000B129F"/>
    <w:rPr>
      <w:color w:val="800080" w:themeColor="followedHyperlink"/>
      <w:u w:val="single"/>
    </w:rPr>
  </w:style>
  <w:style w:type="paragraph" w:styleId="Bibliography">
    <w:name w:val="Bibliography"/>
    <w:basedOn w:val="Normal"/>
    <w:next w:val="Normal"/>
    <w:uiPriority w:val="37"/>
    <w:unhideWhenUsed/>
    <w:rsid w:val="00C34319"/>
    <w:pPr>
      <w:ind w:left="720" w:hanging="720"/>
    </w:pPr>
  </w:style>
  <w:style w:type="paragraph" w:styleId="BalloonText">
    <w:name w:val="Balloon Text"/>
    <w:basedOn w:val="Normal"/>
    <w:link w:val="BalloonTextChar"/>
    <w:uiPriority w:val="99"/>
    <w:semiHidden/>
    <w:unhideWhenUsed/>
    <w:rsid w:val="00946E5C"/>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E5C"/>
    <w:rPr>
      <w:rFonts w:ascii="Lucida Grande" w:hAnsi="Lucida Grande"/>
      <w:sz w:val="18"/>
      <w:szCs w:val="18"/>
    </w:rPr>
  </w:style>
  <w:style w:type="character" w:customStyle="1" w:styleId="apple-converted-space">
    <w:name w:val="apple-converted-space"/>
    <w:basedOn w:val="DefaultParagraphFont"/>
    <w:rsid w:val="00EC6064"/>
  </w:style>
  <w:style w:type="paragraph" w:styleId="Header">
    <w:name w:val="header"/>
    <w:basedOn w:val="Normal"/>
    <w:link w:val="HeaderChar"/>
    <w:uiPriority w:val="99"/>
    <w:unhideWhenUsed/>
    <w:rsid w:val="00C040EB"/>
    <w:pPr>
      <w:tabs>
        <w:tab w:val="center" w:pos="4680"/>
        <w:tab w:val="right" w:pos="9360"/>
      </w:tabs>
    </w:pPr>
  </w:style>
  <w:style w:type="character" w:customStyle="1" w:styleId="HeaderChar">
    <w:name w:val="Header Char"/>
    <w:basedOn w:val="DefaultParagraphFont"/>
    <w:link w:val="Header"/>
    <w:uiPriority w:val="99"/>
    <w:rsid w:val="00C040EB"/>
  </w:style>
  <w:style w:type="paragraph" w:styleId="Footer">
    <w:name w:val="footer"/>
    <w:basedOn w:val="Normal"/>
    <w:link w:val="FooterChar"/>
    <w:uiPriority w:val="99"/>
    <w:unhideWhenUsed/>
    <w:rsid w:val="00C040EB"/>
    <w:pPr>
      <w:tabs>
        <w:tab w:val="center" w:pos="4680"/>
        <w:tab w:val="right" w:pos="9360"/>
      </w:tabs>
    </w:pPr>
  </w:style>
  <w:style w:type="character" w:customStyle="1" w:styleId="FooterChar">
    <w:name w:val="Footer Char"/>
    <w:basedOn w:val="DefaultParagraphFont"/>
    <w:link w:val="Footer"/>
    <w:uiPriority w:val="99"/>
    <w:rsid w:val="00C040EB"/>
  </w:style>
  <w:style w:type="character" w:styleId="CommentReference">
    <w:name w:val="annotation reference"/>
    <w:basedOn w:val="DefaultParagraphFont"/>
    <w:uiPriority w:val="99"/>
    <w:semiHidden/>
    <w:unhideWhenUsed/>
    <w:rsid w:val="00C040EB"/>
    <w:rPr>
      <w:sz w:val="16"/>
      <w:szCs w:val="16"/>
    </w:rPr>
  </w:style>
  <w:style w:type="paragraph" w:styleId="CommentText">
    <w:name w:val="annotation text"/>
    <w:basedOn w:val="Normal"/>
    <w:link w:val="CommentTextChar"/>
    <w:uiPriority w:val="99"/>
    <w:semiHidden/>
    <w:unhideWhenUsed/>
    <w:rsid w:val="00C040EB"/>
    <w:rPr>
      <w:sz w:val="20"/>
      <w:szCs w:val="20"/>
    </w:rPr>
  </w:style>
  <w:style w:type="character" w:customStyle="1" w:styleId="CommentTextChar">
    <w:name w:val="Comment Text Char"/>
    <w:basedOn w:val="DefaultParagraphFont"/>
    <w:link w:val="CommentText"/>
    <w:uiPriority w:val="99"/>
    <w:semiHidden/>
    <w:rsid w:val="00C040EB"/>
    <w:rPr>
      <w:sz w:val="20"/>
      <w:szCs w:val="20"/>
    </w:rPr>
  </w:style>
  <w:style w:type="paragraph" w:styleId="CommentSubject">
    <w:name w:val="annotation subject"/>
    <w:basedOn w:val="CommentText"/>
    <w:next w:val="CommentText"/>
    <w:link w:val="CommentSubjectChar"/>
    <w:uiPriority w:val="99"/>
    <w:semiHidden/>
    <w:unhideWhenUsed/>
    <w:rsid w:val="00C040EB"/>
    <w:rPr>
      <w:b/>
      <w:bCs/>
    </w:rPr>
  </w:style>
  <w:style w:type="character" w:customStyle="1" w:styleId="CommentSubjectChar">
    <w:name w:val="Comment Subject Char"/>
    <w:basedOn w:val="CommentTextChar"/>
    <w:link w:val="CommentSubject"/>
    <w:uiPriority w:val="99"/>
    <w:semiHidden/>
    <w:rsid w:val="00C040EB"/>
    <w:rPr>
      <w:b/>
      <w:bCs/>
      <w:sz w:val="20"/>
      <w:szCs w:val="20"/>
    </w:rPr>
  </w:style>
  <w:style w:type="character" w:styleId="LineNumber">
    <w:name w:val="line number"/>
    <w:basedOn w:val="DefaultParagraphFont"/>
    <w:uiPriority w:val="99"/>
    <w:semiHidden/>
    <w:unhideWhenUsed/>
    <w:rsid w:val="00142BFC"/>
  </w:style>
  <w:style w:type="paragraph" w:styleId="Revision">
    <w:name w:val="Revision"/>
    <w:hidden/>
    <w:uiPriority w:val="99"/>
    <w:semiHidden/>
    <w:rsid w:val="00CF50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2BC"/>
    <w:rPr>
      <w:color w:val="0000FF" w:themeColor="hyperlink"/>
      <w:u w:val="single"/>
    </w:rPr>
  </w:style>
  <w:style w:type="character" w:styleId="FollowedHyperlink">
    <w:name w:val="FollowedHyperlink"/>
    <w:basedOn w:val="DefaultParagraphFont"/>
    <w:uiPriority w:val="99"/>
    <w:semiHidden/>
    <w:unhideWhenUsed/>
    <w:rsid w:val="000B129F"/>
    <w:rPr>
      <w:color w:val="800080" w:themeColor="followedHyperlink"/>
      <w:u w:val="single"/>
    </w:rPr>
  </w:style>
  <w:style w:type="paragraph" w:styleId="Bibliography">
    <w:name w:val="Bibliography"/>
    <w:basedOn w:val="Normal"/>
    <w:next w:val="Normal"/>
    <w:uiPriority w:val="37"/>
    <w:unhideWhenUsed/>
    <w:rsid w:val="00C34319"/>
    <w:pPr>
      <w:ind w:left="720" w:hanging="720"/>
    </w:pPr>
  </w:style>
  <w:style w:type="paragraph" w:styleId="BalloonText">
    <w:name w:val="Balloon Text"/>
    <w:basedOn w:val="Normal"/>
    <w:link w:val="BalloonTextChar"/>
    <w:uiPriority w:val="99"/>
    <w:semiHidden/>
    <w:unhideWhenUsed/>
    <w:rsid w:val="00946E5C"/>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E5C"/>
    <w:rPr>
      <w:rFonts w:ascii="Lucida Grande" w:hAnsi="Lucida Grande"/>
      <w:sz w:val="18"/>
      <w:szCs w:val="18"/>
    </w:rPr>
  </w:style>
  <w:style w:type="character" w:customStyle="1" w:styleId="apple-converted-space">
    <w:name w:val="apple-converted-space"/>
    <w:basedOn w:val="DefaultParagraphFont"/>
    <w:rsid w:val="00EC6064"/>
  </w:style>
  <w:style w:type="paragraph" w:styleId="Header">
    <w:name w:val="header"/>
    <w:basedOn w:val="Normal"/>
    <w:link w:val="HeaderChar"/>
    <w:uiPriority w:val="99"/>
    <w:unhideWhenUsed/>
    <w:rsid w:val="00C040EB"/>
    <w:pPr>
      <w:tabs>
        <w:tab w:val="center" w:pos="4680"/>
        <w:tab w:val="right" w:pos="9360"/>
      </w:tabs>
    </w:pPr>
  </w:style>
  <w:style w:type="character" w:customStyle="1" w:styleId="HeaderChar">
    <w:name w:val="Header Char"/>
    <w:basedOn w:val="DefaultParagraphFont"/>
    <w:link w:val="Header"/>
    <w:uiPriority w:val="99"/>
    <w:rsid w:val="00C040EB"/>
  </w:style>
  <w:style w:type="paragraph" w:styleId="Footer">
    <w:name w:val="footer"/>
    <w:basedOn w:val="Normal"/>
    <w:link w:val="FooterChar"/>
    <w:uiPriority w:val="99"/>
    <w:unhideWhenUsed/>
    <w:rsid w:val="00C040EB"/>
    <w:pPr>
      <w:tabs>
        <w:tab w:val="center" w:pos="4680"/>
        <w:tab w:val="right" w:pos="9360"/>
      </w:tabs>
    </w:pPr>
  </w:style>
  <w:style w:type="character" w:customStyle="1" w:styleId="FooterChar">
    <w:name w:val="Footer Char"/>
    <w:basedOn w:val="DefaultParagraphFont"/>
    <w:link w:val="Footer"/>
    <w:uiPriority w:val="99"/>
    <w:rsid w:val="00C040EB"/>
  </w:style>
  <w:style w:type="character" w:styleId="CommentReference">
    <w:name w:val="annotation reference"/>
    <w:basedOn w:val="DefaultParagraphFont"/>
    <w:uiPriority w:val="99"/>
    <w:semiHidden/>
    <w:unhideWhenUsed/>
    <w:rsid w:val="00C040EB"/>
    <w:rPr>
      <w:sz w:val="16"/>
      <w:szCs w:val="16"/>
    </w:rPr>
  </w:style>
  <w:style w:type="paragraph" w:styleId="CommentText">
    <w:name w:val="annotation text"/>
    <w:basedOn w:val="Normal"/>
    <w:link w:val="CommentTextChar"/>
    <w:uiPriority w:val="99"/>
    <w:semiHidden/>
    <w:unhideWhenUsed/>
    <w:rsid w:val="00C040EB"/>
    <w:rPr>
      <w:sz w:val="20"/>
      <w:szCs w:val="20"/>
    </w:rPr>
  </w:style>
  <w:style w:type="character" w:customStyle="1" w:styleId="CommentTextChar">
    <w:name w:val="Comment Text Char"/>
    <w:basedOn w:val="DefaultParagraphFont"/>
    <w:link w:val="CommentText"/>
    <w:uiPriority w:val="99"/>
    <w:semiHidden/>
    <w:rsid w:val="00C040EB"/>
    <w:rPr>
      <w:sz w:val="20"/>
      <w:szCs w:val="20"/>
    </w:rPr>
  </w:style>
  <w:style w:type="paragraph" w:styleId="CommentSubject">
    <w:name w:val="annotation subject"/>
    <w:basedOn w:val="CommentText"/>
    <w:next w:val="CommentText"/>
    <w:link w:val="CommentSubjectChar"/>
    <w:uiPriority w:val="99"/>
    <w:semiHidden/>
    <w:unhideWhenUsed/>
    <w:rsid w:val="00C040EB"/>
    <w:rPr>
      <w:b/>
      <w:bCs/>
    </w:rPr>
  </w:style>
  <w:style w:type="character" w:customStyle="1" w:styleId="CommentSubjectChar">
    <w:name w:val="Comment Subject Char"/>
    <w:basedOn w:val="CommentTextChar"/>
    <w:link w:val="CommentSubject"/>
    <w:uiPriority w:val="99"/>
    <w:semiHidden/>
    <w:rsid w:val="00C040EB"/>
    <w:rPr>
      <w:b/>
      <w:bCs/>
      <w:sz w:val="20"/>
      <w:szCs w:val="20"/>
    </w:rPr>
  </w:style>
  <w:style w:type="character" w:styleId="LineNumber">
    <w:name w:val="line number"/>
    <w:basedOn w:val="DefaultParagraphFont"/>
    <w:uiPriority w:val="99"/>
    <w:semiHidden/>
    <w:unhideWhenUsed/>
    <w:rsid w:val="00142BFC"/>
  </w:style>
  <w:style w:type="paragraph" w:styleId="Revision">
    <w:name w:val="Revision"/>
    <w:hidden/>
    <w:uiPriority w:val="99"/>
    <w:semiHidden/>
    <w:rsid w:val="00CF5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71949">
      <w:bodyDiv w:val="1"/>
      <w:marLeft w:val="0"/>
      <w:marRight w:val="0"/>
      <w:marTop w:val="0"/>
      <w:marBottom w:val="0"/>
      <w:divBdr>
        <w:top w:val="none" w:sz="0" w:space="0" w:color="auto"/>
        <w:left w:val="none" w:sz="0" w:space="0" w:color="auto"/>
        <w:bottom w:val="none" w:sz="0" w:space="0" w:color="auto"/>
        <w:right w:val="none" w:sz="0" w:space="0" w:color="auto"/>
      </w:divBdr>
    </w:div>
    <w:div w:id="672074041">
      <w:bodyDiv w:val="1"/>
      <w:marLeft w:val="0"/>
      <w:marRight w:val="0"/>
      <w:marTop w:val="0"/>
      <w:marBottom w:val="0"/>
      <w:divBdr>
        <w:top w:val="none" w:sz="0" w:space="0" w:color="auto"/>
        <w:left w:val="none" w:sz="0" w:space="0" w:color="auto"/>
        <w:bottom w:val="none" w:sz="0" w:space="0" w:color="auto"/>
        <w:right w:val="none" w:sz="0" w:space="0" w:color="auto"/>
      </w:divBdr>
    </w:div>
    <w:div w:id="733895656">
      <w:bodyDiv w:val="1"/>
      <w:marLeft w:val="0"/>
      <w:marRight w:val="0"/>
      <w:marTop w:val="0"/>
      <w:marBottom w:val="0"/>
      <w:divBdr>
        <w:top w:val="none" w:sz="0" w:space="0" w:color="auto"/>
        <w:left w:val="none" w:sz="0" w:space="0" w:color="auto"/>
        <w:bottom w:val="none" w:sz="0" w:space="0" w:color="auto"/>
        <w:right w:val="none" w:sz="0" w:space="0" w:color="auto"/>
      </w:divBdr>
    </w:div>
    <w:div w:id="900599132">
      <w:bodyDiv w:val="1"/>
      <w:marLeft w:val="0"/>
      <w:marRight w:val="0"/>
      <w:marTop w:val="0"/>
      <w:marBottom w:val="0"/>
      <w:divBdr>
        <w:top w:val="none" w:sz="0" w:space="0" w:color="auto"/>
        <w:left w:val="none" w:sz="0" w:space="0" w:color="auto"/>
        <w:bottom w:val="none" w:sz="0" w:space="0" w:color="auto"/>
        <w:right w:val="none" w:sz="0" w:space="0" w:color="auto"/>
      </w:divBdr>
      <w:divsChild>
        <w:div w:id="129178691">
          <w:marLeft w:val="0"/>
          <w:marRight w:val="0"/>
          <w:marTop w:val="0"/>
          <w:marBottom w:val="0"/>
          <w:divBdr>
            <w:top w:val="none" w:sz="0" w:space="0" w:color="auto"/>
            <w:left w:val="none" w:sz="0" w:space="0" w:color="auto"/>
            <w:bottom w:val="none" w:sz="0" w:space="0" w:color="auto"/>
            <w:right w:val="none" w:sz="0" w:space="0" w:color="auto"/>
          </w:divBdr>
          <w:divsChild>
            <w:div w:id="15630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8670">
      <w:bodyDiv w:val="1"/>
      <w:marLeft w:val="0"/>
      <w:marRight w:val="0"/>
      <w:marTop w:val="0"/>
      <w:marBottom w:val="0"/>
      <w:divBdr>
        <w:top w:val="none" w:sz="0" w:space="0" w:color="auto"/>
        <w:left w:val="none" w:sz="0" w:space="0" w:color="auto"/>
        <w:bottom w:val="none" w:sz="0" w:space="0" w:color="auto"/>
        <w:right w:val="none" w:sz="0" w:space="0" w:color="auto"/>
      </w:divBdr>
    </w:div>
    <w:div w:id="1157961327">
      <w:bodyDiv w:val="1"/>
      <w:marLeft w:val="0"/>
      <w:marRight w:val="0"/>
      <w:marTop w:val="0"/>
      <w:marBottom w:val="0"/>
      <w:divBdr>
        <w:top w:val="none" w:sz="0" w:space="0" w:color="auto"/>
        <w:left w:val="none" w:sz="0" w:space="0" w:color="auto"/>
        <w:bottom w:val="none" w:sz="0" w:space="0" w:color="auto"/>
        <w:right w:val="none" w:sz="0" w:space="0" w:color="auto"/>
      </w:divBdr>
      <w:divsChild>
        <w:div w:id="1475441977">
          <w:marLeft w:val="0"/>
          <w:marRight w:val="0"/>
          <w:marTop w:val="0"/>
          <w:marBottom w:val="0"/>
          <w:divBdr>
            <w:top w:val="none" w:sz="0" w:space="0" w:color="auto"/>
            <w:left w:val="none" w:sz="0" w:space="0" w:color="auto"/>
            <w:bottom w:val="none" w:sz="0" w:space="0" w:color="auto"/>
            <w:right w:val="none" w:sz="0" w:space="0" w:color="auto"/>
          </w:divBdr>
          <w:divsChild>
            <w:div w:id="909389524">
              <w:marLeft w:val="0"/>
              <w:marRight w:val="0"/>
              <w:marTop w:val="0"/>
              <w:marBottom w:val="0"/>
              <w:divBdr>
                <w:top w:val="none" w:sz="0" w:space="0" w:color="auto"/>
                <w:left w:val="none" w:sz="0" w:space="0" w:color="auto"/>
                <w:bottom w:val="none" w:sz="0" w:space="0" w:color="auto"/>
                <w:right w:val="none" w:sz="0" w:space="0" w:color="auto"/>
              </w:divBdr>
            </w:div>
            <w:div w:id="545869536">
              <w:marLeft w:val="0"/>
              <w:marRight w:val="0"/>
              <w:marTop w:val="0"/>
              <w:marBottom w:val="0"/>
              <w:divBdr>
                <w:top w:val="none" w:sz="0" w:space="0" w:color="auto"/>
                <w:left w:val="none" w:sz="0" w:space="0" w:color="auto"/>
                <w:bottom w:val="none" w:sz="0" w:space="0" w:color="auto"/>
                <w:right w:val="none" w:sz="0" w:space="0" w:color="auto"/>
              </w:divBdr>
            </w:div>
            <w:div w:id="300044582">
              <w:marLeft w:val="0"/>
              <w:marRight w:val="0"/>
              <w:marTop w:val="0"/>
              <w:marBottom w:val="0"/>
              <w:divBdr>
                <w:top w:val="none" w:sz="0" w:space="0" w:color="auto"/>
                <w:left w:val="none" w:sz="0" w:space="0" w:color="auto"/>
                <w:bottom w:val="none" w:sz="0" w:space="0" w:color="auto"/>
                <w:right w:val="none" w:sz="0" w:space="0" w:color="auto"/>
              </w:divBdr>
            </w:div>
            <w:div w:id="755052278">
              <w:marLeft w:val="0"/>
              <w:marRight w:val="0"/>
              <w:marTop w:val="0"/>
              <w:marBottom w:val="0"/>
              <w:divBdr>
                <w:top w:val="none" w:sz="0" w:space="0" w:color="auto"/>
                <w:left w:val="none" w:sz="0" w:space="0" w:color="auto"/>
                <w:bottom w:val="none" w:sz="0" w:space="0" w:color="auto"/>
                <w:right w:val="none" w:sz="0" w:space="0" w:color="auto"/>
              </w:divBdr>
            </w:div>
            <w:div w:id="594092362">
              <w:marLeft w:val="0"/>
              <w:marRight w:val="0"/>
              <w:marTop w:val="0"/>
              <w:marBottom w:val="0"/>
              <w:divBdr>
                <w:top w:val="none" w:sz="0" w:space="0" w:color="auto"/>
                <w:left w:val="none" w:sz="0" w:space="0" w:color="auto"/>
                <w:bottom w:val="none" w:sz="0" w:space="0" w:color="auto"/>
                <w:right w:val="none" w:sz="0" w:space="0" w:color="auto"/>
              </w:divBdr>
            </w:div>
            <w:div w:id="696394803">
              <w:marLeft w:val="0"/>
              <w:marRight w:val="0"/>
              <w:marTop w:val="0"/>
              <w:marBottom w:val="0"/>
              <w:divBdr>
                <w:top w:val="none" w:sz="0" w:space="0" w:color="auto"/>
                <w:left w:val="none" w:sz="0" w:space="0" w:color="auto"/>
                <w:bottom w:val="none" w:sz="0" w:space="0" w:color="auto"/>
                <w:right w:val="none" w:sz="0" w:space="0" w:color="auto"/>
              </w:divBdr>
            </w:div>
            <w:div w:id="1517502105">
              <w:marLeft w:val="0"/>
              <w:marRight w:val="0"/>
              <w:marTop w:val="0"/>
              <w:marBottom w:val="0"/>
              <w:divBdr>
                <w:top w:val="none" w:sz="0" w:space="0" w:color="auto"/>
                <w:left w:val="none" w:sz="0" w:space="0" w:color="auto"/>
                <w:bottom w:val="none" w:sz="0" w:space="0" w:color="auto"/>
                <w:right w:val="none" w:sz="0" w:space="0" w:color="auto"/>
              </w:divBdr>
            </w:div>
            <w:div w:id="192695792">
              <w:marLeft w:val="0"/>
              <w:marRight w:val="0"/>
              <w:marTop w:val="0"/>
              <w:marBottom w:val="0"/>
              <w:divBdr>
                <w:top w:val="none" w:sz="0" w:space="0" w:color="auto"/>
                <w:left w:val="none" w:sz="0" w:space="0" w:color="auto"/>
                <w:bottom w:val="none" w:sz="0" w:space="0" w:color="auto"/>
                <w:right w:val="none" w:sz="0" w:space="0" w:color="auto"/>
              </w:divBdr>
            </w:div>
            <w:div w:id="109782486">
              <w:marLeft w:val="0"/>
              <w:marRight w:val="0"/>
              <w:marTop w:val="0"/>
              <w:marBottom w:val="0"/>
              <w:divBdr>
                <w:top w:val="none" w:sz="0" w:space="0" w:color="auto"/>
                <w:left w:val="none" w:sz="0" w:space="0" w:color="auto"/>
                <w:bottom w:val="none" w:sz="0" w:space="0" w:color="auto"/>
                <w:right w:val="none" w:sz="0" w:space="0" w:color="auto"/>
              </w:divBdr>
            </w:div>
            <w:div w:id="587541596">
              <w:marLeft w:val="0"/>
              <w:marRight w:val="0"/>
              <w:marTop w:val="0"/>
              <w:marBottom w:val="0"/>
              <w:divBdr>
                <w:top w:val="none" w:sz="0" w:space="0" w:color="auto"/>
                <w:left w:val="none" w:sz="0" w:space="0" w:color="auto"/>
                <w:bottom w:val="none" w:sz="0" w:space="0" w:color="auto"/>
                <w:right w:val="none" w:sz="0" w:space="0" w:color="auto"/>
              </w:divBdr>
            </w:div>
            <w:div w:id="1643733222">
              <w:marLeft w:val="0"/>
              <w:marRight w:val="0"/>
              <w:marTop w:val="0"/>
              <w:marBottom w:val="0"/>
              <w:divBdr>
                <w:top w:val="none" w:sz="0" w:space="0" w:color="auto"/>
                <w:left w:val="none" w:sz="0" w:space="0" w:color="auto"/>
                <w:bottom w:val="none" w:sz="0" w:space="0" w:color="auto"/>
                <w:right w:val="none" w:sz="0" w:space="0" w:color="auto"/>
              </w:divBdr>
            </w:div>
            <w:div w:id="19507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340">
      <w:bodyDiv w:val="1"/>
      <w:marLeft w:val="0"/>
      <w:marRight w:val="0"/>
      <w:marTop w:val="0"/>
      <w:marBottom w:val="0"/>
      <w:divBdr>
        <w:top w:val="none" w:sz="0" w:space="0" w:color="auto"/>
        <w:left w:val="none" w:sz="0" w:space="0" w:color="auto"/>
        <w:bottom w:val="none" w:sz="0" w:space="0" w:color="auto"/>
        <w:right w:val="none" w:sz="0" w:space="0" w:color="auto"/>
      </w:divBdr>
    </w:div>
    <w:div w:id="1787314020">
      <w:bodyDiv w:val="1"/>
      <w:marLeft w:val="0"/>
      <w:marRight w:val="0"/>
      <w:marTop w:val="0"/>
      <w:marBottom w:val="0"/>
      <w:divBdr>
        <w:top w:val="none" w:sz="0" w:space="0" w:color="auto"/>
        <w:left w:val="none" w:sz="0" w:space="0" w:color="auto"/>
        <w:bottom w:val="none" w:sz="0" w:space="0" w:color="auto"/>
        <w:right w:val="none" w:sz="0" w:space="0" w:color="auto"/>
      </w:divBdr>
    </w:div>
    <w:div w:id="2076969963">
      <w:bodyDiv w:val="1"/>
      <w:marLeft w:val="0"/>
      <w:marRight w:val="0"/>
      <w:marTop w:val="0"/>
      <w:marBottom w:val="0"/>
      <w:divBdr>
        <w:top w:val="none" w:sz="0" w:space="0" w:color="auto"/>
        <w:left w:val="none" w:sz="0" w:space="0" w:color="auto"/>
        <w:bottom w:val="none" w:sz="0" w:space="0" w:color="auto"/>
        <w:right w:val="none" w:sz="0" w:space="0" w:color="auto"/>
      </w:divBdr>
    </w:div>
    <w:div w:id="2130658396">
      <w:bodyDiv w:val="1"/>
      <w:marLeft w:val="0"/>
      <w:marRight w:val="0"/>
      <w:marTop w:val="0"/>
      <w:marBottom w:val="0"/>
      <w:divBdr>
        <w:top w:val="none" w:sz="0" w:space="0" w:color="auto"/>
        <w:left w:val="none" w:sz="0" w:space="0" w:color="auto"/>
        <w:bottom w:val="none" w:sz="0" w:space="0" w:color="auto"/>
        <w:right w:val="none" w:sz="0" w:space="0" w:color="auto"/>
      </w:divBdr>
      <w:divsChild>
        <w:div w:id="739912543">
          <w:marLeft w:val="0"/>
          <w:marRight w:val="0"/>
          <w:marTop w:val="0"/>
          <w:marBottom w:val="0"/>
          <w:divBdr>
            <w:top w:val="none" w:sz="0" w:space="0" w:color="auto"/>
            <w:left w:val="none" w:sz="0" w:space="0" w:color="auto"/>
            <w:bottom w:val="none" w:sz="0" w:space="0" w:color="auto"/>
            <w:right w:val="none" w:sz="0" w:space="0" w:color="auto"/>
          </w:divBdr>
          <w:divsChild>
            <w:div w:id="1826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oleObject" Target="embeddings/Microsoft_Equation1.bin"/><Relationship Id="rId13" Type="http://schemas.openxmlformats.org/officeDocument/2006/relationships/image" Target="media/image3.jpeg"/><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2F5D6-B964-DC49-B738-9886BFA116E2}">
  <ds:schemaRefs>
    <ds:schemaRef ds:uri="http://schemas.openxmlformats.org/officeDocument/2006/bibliography"/>
  </ds:schemaRefs>
</ds:datastoreItem>
</file>

<file path=customXml/itemProps2.xml><?xml version="1.0" encoding="utf-8"?>
<ds:datastoreItem xmlns:ds="http://schemas.openxmlformats.org/officeDocument/2006/customXml" ds:itemID="{340677FA-3363-E648-B1EF-12551D08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22066</Words>
  <Characters>125780</Characters>
  <Application>Microsoft Macintosh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Manager/>
  <Company>University of Massachusetts</Company>
  <LinksUpToDate>false</LinksUpToDate>
  <CharactersWithSpaces>147551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Burns</dc:creator>
  <cp:keywords/>
  <dc:description/>
  <cp:lastModifiedBy>Stephen Burns</cp:lastModifiedBy>
  <cp:revision>2</cp:revision>
  <cp:lastPrinted>2014-09-22T13:04:00Z</cp:lastPrinted>
  <dcterms:created xsi:type="dcterms:W3CDTF">2015-06-02T15:07:00Z</dcterms:created>
  <dcterms:modified xsi:type="dcterms:W3CDTF">2015-06-02T15:07:00Z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id="y94fNaID"/&gt;&lt;style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name="noteType" value="0"/&gt;&lt;pref name="automaticJournalAbbreviations" value="false"/&gt;&lt;/prefs&gt;&lt;/data&gt;</vt:lpwstr>
  </property>
</Properties>
</file>