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Body A"/>
        <w:spacing w:before="100" w:after="100"/>
        <w:jc w:val="center"/>
        <w:rPr>
          <w:sz w:val="22"/>
          <w:szCs w:val="22"/>
        </w:rPr>
      </w:pPr>
      <w:r>
        <w:rPr>
          <w:sz w:val="22"/>
          <w:szCs w:val="22"/>
          <w:rtl w:val="0"/>
          <w:lang w:val="de-DE"/>
        </w:rPr>
        <w:t>Supplementary</w:t>
      </w:r>
      <w:r>
        <w:rPr>
          <w:sz w:val="22"/>
          <w:szCs w:val="22"/>
          <w:rtl w:val="0"/>
          <w:lang w:val="en-US"/>
        </w:rPr>
        <w:t xml:space="preserve"> Information for</w:t>
      </w:r>
    </w:p>
    <w:p>
      <w:pPr>
        <w:pStyle w:val="Body A"/>
        <w:spacing w:before="100" w:after="100"/>
        <w:jc w:val="center"/>
        <w:rPr>
          <w:sz w:val="22"/>
          <w:szCs w:val="22"/>
        </w:rPr>
      </w:pPr>
    </w:p>
    <w:p>
      <w:pPr>
        <w:pStyle w:val="Body A"/>
        <w:spacing w:before="100" w:after="100"/>
        <w:rPr>
          <w:b w:val="1"/>
          <w:bCs w:val="1"/>
          <w:sz w:val="22"/>
          <w:szCs w:val="22"/>
          <w:lang w:val="en-US"/>
        </w:rPr>
      </w:pPr>
      <w:r>
        <w:rPr>
          <w:b w:val="1"/>
          <w:bCs w:val="1"/>
          <w:rtl w:val="0"/>
          <w:lang w:val="en-US"/>
        </w:rPr>
        <w:t>Late Eocene to early Oligocene productivity events in the proto-Southern Ocean and correlation to climate change</w:t>
      </w:r>
    </w:p>
    <w:p>
      <w:pPr>
        <w:pStyle w:val="Body A"/>
        <w:spacing w:before="100" w:after="100"/>
        <w:rPr>
          <w:sz w:val="22"/>
          <w:szCs w:val="22"/>
        </w:rPr>
      </w:pPr>
      <w:r>
        <w:rPr>
          <w:sz w:val="22"/>
          <w:szCs w:val="22"/>
          <w:rtl w:val="0"/>
          <w:lang w:val="de-DE"/>
        </w:rPr>
        <w:t>Gabrielle R. de Faria</w:t>
      </w:r>
      <w:r>
        <w:rPr>
          <w:sz w:val="22"/>
          <w:szCs w:val="22"/>
          <w:vertAlign w:val="superscript"/>
          <w:rtl w:val="0"/>
          <w:lang w:val="de-DE"/>
        </w:rPr>
        <w:t>1,2</w:t>
      </w:r>
      <w:r>
        <w:rPr>
          <w:sz w:val="22"/>
          <w:szCs w:val="22"/>
          <w:rtl w:val="0"/>
          <w:lang w:val="de-DE"/>
        </w:rPr>
        <w:t>, David Lazarus</w:t>
      </w:r>
      <w:r>
        <w:rPr>
          <w:sz w:val="22"/>
          <w:szCs w:val="22"/>
          <w:vertAlign w:val="superscript"/>
          <w:rtl w:val="0"/>
          <w:lang w:val="de-DE"/>
        </w:rPr>
        <w:t>1</w:t>
      </w:r>
      <w:r>
        <w:rPr>
          <w:sz w:val="22"/>
          <w:szCs w:val="22"/>
          <w:rtl w:val="0"/>
          <w:lang w:val="de-DE"/>
        </w:rPr>
        <w:t>, Johan Renaudie, Jessica</w:t>
      </w:r>
      <w:r>
        <w:rPr>
          <w:sz w:val="22"/>
          <w:szCs w:val="22"/>
          <w:vertAlign w:val="superscript"/>
          <w:rtl w:val="0"/>
          <w:lang w:val="de-DE"/>
        </w:rPr>
        <w:t>1</w:t>
      </w:r>
      <w:r>
        <w:rPr>
          <w:sz w:val="22"/>
          <w:szCs w:val="22"/>
          <w:rtl w:val="0"/>
          <w:lang w:val="de-DE"/>
        </w:rPr>
        <w:t xml:space="preserve"> Stammeier</w:t>
      </w:r>
      <w:r>
        <w:rPr>
          <w:sz w:val="22"/>
          <w:szCs w:val="22"/>
          <w:vertAlign w:val="superscript"/>
          <w:rtl w:val="0"/>
          <w:lang w:val="de-DE"/>
        </w:rPr>
        <w:t>3</w:t>
      </w:r>
      <w:r>
        <w:rPr>
          <w:sz w:val="22"/>
          <w:szCs w:val="22"/>
          <w:rtl w:val="0"/>
          <w:lang w:val="de-DE"/>
        </w:rPr>
        <w:t xml:space="preserve">, Volkan </w:t>
      </w:r>
      <w:r>
        <w:rPr>
          <w:sz w:val="22"/>
          <w:szCs w:val="22"/>
          <w:rtl w:val="0"/>
          <w:lang w:val="de-DE"/>
        </w:rPr>
        <w:t>Ö</w:t>
      </w:r>
      <w:r>
        <w:rPr>
          <w:sz w:val="22"/>
          <w:szCs w:val="22"/>
          <w:rtl w:val="0"/>
          <w:lang w:val="de-DE"/>
        </w:rPr>
        <w:t>zen</w:t>
      </w:r>
      <w:r>
        <w:rPr>
          <w:sz w:val="22"/>
          <w:szCs w:val="22"/>
          <w:vertAlign w:val="superscript"/>
          <w:rtl w:val="0"/>
          <w:lang w:val="de-DE"/>
        </w:rPr>
        <w:t>1,2</w:t>
      </w:r>
      <w:r>
        <w:rPr>
          <w:sz w:val="22"/>
          <w:szCs w:val="22"/>
          <w:rtl w:val="0"/>
          <w:lang w:val="de-DE"/>
        </w:rPr>
        <w:t>,</w:t>
      </w:r>
      <w:r>
        <w:rPr>
          <w:sz w:val="22"/>
          <w:szCs w:val="22"/>
          <w:vertAlign w:val="superscript"/>
          <w:rtl w:val="0"/>
          <w:lang w:val="de-DE"/>
        </w:rPr>
        <w:t xml:space="preserve"> </w:t>
      </w:r>
      <w:r>
        <w:rPr>
          <w:sz w:val="22"/>
          <w:szCs w:val="22"/>
          <w:rtl w:val="0"/>
          <w:lang w:val="de-DE"/>
        </w:rPr>
        <w:t>Ulrich Struck</w:t>
      </w:r>
      <w:r>
        <w:rPr>
          <w:sz w:val="22"/>
          <w:szCs w:val="22"/>
          <w:vertAlign w:val="superscript"/>
          <w:rtl w:val="0"/>
          <w:lang w:val="de-DE"/>
        </w:rPr>
        <w:t>1,2</w:t>
      </w:r>
    </w:p>
    <w:p>
      <w:pPr>
        <w:pStyle w:val="Body A"/>
        <w:spacing w:before="100" w:after="100"/>
        <w:rPr>
          <w:sz w:val="20"/>
          <w:szCs w:val="20"/>
        </w:rPr>
      </w:pPr>
      <w:r>
        <w:rPr>
          <w:sz w:val="20"/>
          <w:szCs w:val="20"/>
          <w:vertAlign w:val="superscript"/>
          <w:rtl w:val="0"/>
          <w:lang w:val="ru-RU"/>
        </w:rPr>
        <w:t xml:space="preserve">1 </w:t>
      </w:r>
      <w:r>
        <w:rPr>
          <w:outline w:val="0"/>
          <w:color w:val="222222"/>
          <w:sz w:val="20"/>
          <w:szCs w:val="20"/>
          <w:u w:val="none" w:color="222222"/>
          <w:rtl w:val="0"/>
          <w:lang w:val="de-DE"/>
          <w14:textFill>
            <w14:solidFill>
              <w14:srgbClr w14:val="222222"/>
            </w14:solidFill>
          </w14:textFill>
        </w:rPr>
        <w:t>Museum f</w:t>
      </w:r>
      <w:r>
        <w:rPr>
          <w:outline w:val="0"/>
          <w:color w:val="222222"/>
          <w:sz w:val="20"/>
          <w:szCs w:val="20"/>
          <w:u w:val="none" w:color="222222"/>
          <w:rtl w:val="0"/>
          <w:lang w:val="de-DE"/>
          <w14:textFill>
            <w14:solidFill>
              <w14:srgbClr w14:val="222222"/>
            </w14:solidFill>
          </w14:textFill>
        </w:rPr>
        <w:t>ü</w:t>
      </w:r>
      <w:r>
        <w:rPr>
          <w:outline w:val="0"/>
          <w:color w:val="222222"/>
          <w:sz w:val="20"/>
          <w:szCs w:val="20"/>
          <w:u w:val="none" w:color="222222"/>
          <w:rtl w:val="0"/>
          <w:lang w:val="de-DE"/>
          <w14:textFill>
            <w14:solidFill>
              <w14:srgbClr w14:val="222222"/>
            </w14:solidFill>
          </w14:textFill>
        </w:rPr>
        <w:t>r Naturkunde, Leibniz Institute for Evolution and Biodiversity Science, Invalidenstra</w:t>
      </w:r>
      <w:r>
        <w:rPr>
          <w:outline w:val="0"/>
          <w:color w:val="222222"/>
          <w:sz w:val="20"/>
          <w:szCs w:val="20"/>
          <w:u w:val="none" w:color="222222"/>
          <w:rtl w:val="0"/>
          <w:lang w:val="de-DE"/>
          <w14:textFill>
            <w14:solidFill>
              <w14:srgbClr w14:val="222222"/>
            </w14:solidFill>
          </w14:textFill>
        </w:rPr>
        <w:t>ß</w:t>
      </w:r>
      <w:r>
        <w:rPr>
          <w:outline w:val="0"/>
          <w:color w:val="222222"/>
          <w:sz w:val="20"/>
          <w:szCs w:val="20"/>
          <w:u w:val="none" w:color="222222"/>
          <w:rtl w:val="0"/>
          <w:lang w:val="de-DE"/>
          <w14:textFill>
            <w14:solidFill>
              <w14:srgbClr w14:val="222222"/>
            </w14:solidFill>
          </w14:textFill>
        </w:rPr>
        <w:t>e 43, 10115, Berlin, Germany</w:t>
      </w:r>
    </w:p>
    <w:p>
      <w:pPr>
        <w:pStyle w:val="TOC 6"/>
        <w:widowControl w:val="0"/>
        <w:suppressAutoHyphens w:val="1"/>
        <w:spacing w:before="57" w:after="57"/>
        <w:ind w:left="0" w:firstLine="0"/>
        <w:rPr>
          <w:kern w:val="2"/>
          <w:sz w:val="20"/>
          <w:szCs w:val="20"/>
          <w:lang w:val="de-DE"/>
        </w:rPr>
      </w:pPr>
      <w:r>
        <w:rPr>
          <w:outline w:val="0"/>
          <w:color w:val="222222"/>
          <w:kern w:val="2"/>
          <w:sz w:val="20"/>
          <w:szCs w:val="20"/>
          <w:u w:val="none" w:color="222222"/>
          <w:vertAlign w:val="superscript"/>
          <w:rtl w:val="0"/>
          <w:lang w:val="de-DE"/>
          <w14:textFill>
            <w14:solidFill>
              <w14:srgbClr w14:val="222222"/>
            </w14:solidFill>
          </w14:textFill>
        </w:rPr>
        <w:t xml:space="preserve">2 </w:t>
      </w:r>
      <w:r>
        <w:rPr>
          <w:outline w:val="0"/>
          <w:color w:val="222222"/>
          <w:kern w:val="2"/>
          <w:sz w:val="20"/>
          <w:szCs w:val="20"/>
          <w:u w:val="none" w:color="222222"/>
          <w:rtl w:val="0"/>
          <w:lang w:val="de-DE"/>
          <w14:textFill>
            <w14:solidFill>
              <w14:srgbClr w14:val="222222"/>
            </w14:solidFill>
          </w14:textFill>
        </w:rPr>
        <w:t>Freie Universit</w:t>
      </w:r>
      <w:r>
        <w:rPr>
          <w:outline w:val="0"/>
          <w:color w:val="222222"/>
          <w:kern w:val="2"/>
          <w:sz w:val="20"/>
          <w:szCs w:val="20"/>
          <w:u w:val="none" w:color="222222"/>
          <w:rtl w:val="0"/>
          <w:lang w:val="de-DE"/>
          <w14:textFill>
            <w14:solidFill>
              <w14:srgbClr w14:val="222222"/>
            </w14:solidFill>
          </w14:textFill>
        </w:rPr>
        <w:t>ä</w:t>
      </w:r>
      <w:r>
        <w:rPr>
          <w:outline w:val="0"/>
          <w:color w:val="222222"/>
          <w:kern w:val="2"/>
          <w:sz w:val="20"/>
          <w:szCs w:val="20"/>
          <w:u w:val="none" w:color="222222"/>
          <w:rtl w:val="0"/>
          <w:lang w:val="de-DE"/>
          <w14:textFill>
            <w14:solidFill>
              <w14:srgbClr w14:val="222222"/>
            </w14:solidFill>
          </w14:textFill>
        </w:rPr>
        <w:t>t Berlin, Institute for Geological Sciences, Malteserstra</w:t>
      </w:r>
      <w:r>
        <w:rPr>
          <w:outline w:val="0"/>
          <w:color w:val="222222"/>
          <w:kern w:val="2"/>
          <w:sz w:val="20"/>
          <w:szCs w:val="20"/>
          <w:u w:val="none" w:color="222222"/>
          <w:rtl w:val="0"/>
          <w:lang w:val="de-DE"/>
          <w14:textFill>
            <w14:solidFill>
              <w14:srgbClr w14:val="222222"/>
            </w14:solidFill>
          </w14:textFill>
        </w:rPr>
        <w:t>ß</w:t>
      </w:r>
      <w:r>
        <w:rPr>
          <w:outline w:val="0"/>
          <w:color w:val="222222"/>
          <w:kern w:val="2"/>
          <w:sz w:val="20"/>
          <w:szCs w:val="20"/>
          <w:u w:val="none" w:color="222222"/>
          <w:rtl w:val="0"/>
          <w:lang w:val="de-DE"/>
          <w14:textFill>
            <w14:solidFill>
              <w14:srgbClr w14:val="222222"/>
            </w14:solidFill>
          </w14:textFill>
        </w:rPr>
        <w:t>e 74-100, 12249 Berlin, Germany</w:t>
      </w:r>
    </w:p>
    <w:p>
      <w:pPr>
        <w:pStyle w:val="TOC 6"/>
        <w:widowControl w:val="0"/>
        <w:suppressAutoHyphens w:val="1"/>
        <w:spacing w:before="57" w:after="197"/>
        <w:ind w:left="0" w:firstLine="0"/>
        <w:rPr>
          <w:kern w:val="2"/>
          <w:sz w:val="20"/>
          <w:szCs w:val="20"/>
        </w:rPr>
      </w:pPr>
      <w:r>
        <w:rPr>
          <w:kern w:val="2"/>
          <w:sz w:val="20"/>
          <w:szCs w:val="20"/>
          <w:vertAlign w:val="superscript"/>
          <w:rtl w:val="0"/>
          <w:lang w:val="en-US"/>
        </w:rPr>
        <w:t>3</w:t>
      </w:r>
      <w:r>
        <w:rPr>
          <w:kern w:val="2"/>
          <w:sz w:val="20"/>
          <w:szCs w:val="20"/>
          <w:rtl w:val="0"/>
          <w:lang w:val="en-US"/>
        </w:rPr>
        <w:t>GFZ German Research Centre for Geosciences, Telegrafenberg, 14473 Potsdam, Germany</w:t>
      </w:r>
      <w:r>
        <w:rPr>
          <w:rFonts w:ascii="Myriad Pro" w:cs="Myriad Pro" w:hAnsi="Myriad Pro" w:eastAsia="Myriad Pro"/>
          <w:kern w:val="2"/>
          <w:sz w:val="20"/>
          <w:szCs w:val="20"/>
          <w:rtl w:val="0"/>
          <w:lang w:val="en-US"/>
        </w:rPr>
        <w:t xml:space="preserve"> </w:t>
      </w:r>
    </w:p>
    <w:p>
      <w:pPr>
        <w:pStyle w:val="Body A"/>
        <w:spacing w:before="240" w:after="240"/>
        <w:rPr>
          <w:sz w:val="20"/>
          <w:szCs w:val="20"/>
        </w:rPr>
      </w:pPr>
    </w:p>
    <w:p>
      <w:pPr>
        <w:pStyle w:val="Body A"/>
        <w:spacing w:before="240" w:after="240"/>
        <w:rPr>
          <w:b w:val="1"/>
          <w:bCs w:val="1"/>
          <w:sz w:val="20"/>
          <w:szCs w:val="20"/>
          <w:lang w:val="en-US"/>
        </w:rPr>
      </w:pPr>
      <w:r>
        <w:rPr>
          <w:b w:val="1"/>
          <w:bCs w:val="1"/>
          <w:sz w:val="20"/>
          <w:szCs w:val="20"/>
          <w:rtl w:val="0"/>
          <w:lang w:val="en-US"/>
        </w:rPr>
        <w:t xml:space="preserve">Contents of this file </w:t>
      </w:r>
    </w:p>
    <w:p>
      <w:pPr>
        <w:pStyle w:val="Body A"/>
        <w:spacing w:before="240" w:after="240"/>
        <w:rPr>
          <w:sz w:val="20"/>
          <w:szCs w:val="20"/>
        </w:rPr>
      </w:pPr>
      <w:r>
        <w:rPr>
          <w:sz w:val="20"/>
          <w:szCs w:val="20"/>
          <w:rtl w:val="0"/>
          <w:lang w:val="en-US"/>
        </w:rPr>
        <w:t>Figures S1 to S</w:t>
      </w:r>
      <w:r>
        <w:rPr>
          <w:sz w:val="20"/>
          <w:szCs w:val="20"/>
          <w:rtl w:val="0"/>
          <w:lang w:val="de-DE"/>
        </w:rPr>
        <w:t>7</w:t>
      </w:r>
    </w:p>
    <w:p>
      <w:pPr>
        <w:pStyle w:val="Body A"/>
        <w:spacing w:before="240" w:after="240"/>
        <w:rPr>
          <w:sz w:val="20"/>
          <w:szCs w:val="20"/>
        </w:rPr>
      </w:pPr>
      <w:r>
        <w:rPr>
          <w:sz w:val="20"/>
          <w:szCs w:val="20"/>
          <w:rtl w:val="0"/>
          <w:lang w:val="fr-FR"/>
        </w:rPr>
        <w:t xml:space="preserve">Tables S1 </w:t>
      </w:r>
      <w:r>
        <w:rPr>
          <w:sz w:val="20"/>
          <w:szCs w:val="20"/>
          <w:rtl w:val="0"/>
          <w:lang w:val="de-DE"/>
        </w:rPr>
        <w:t xml:space="preserve">and S2 </w:t>
      </w:r>
    </w:p>
    <w:p>
      <w:pPr>
        <w:pStyle w:val="Body A"/>
        <w:rPr>
          <w:sz w:val="20"/>
          <w:szCs w:val="20"/>
        </w:rPr>
      </w:pPr>
    </w:p>
    <w:p>
      <w:pPr>
        <w:pStyle w:val="Body A"/>
        <w:spacing w:before="240" w:after="240" w:line="360" w:lineRule="auto"/>
        <w:rPr>
          <w:b w:val="1"/>
          <w:bCs w:val="1"/>
          <w:sz w:val="20"/>
          <w:szCs w:val="20"/>
          <w:lang w:val="fr-FR"/>
        </w:rPr>
      </w:pPr>
      <w:r>
        <w:rPr>
          <w:b w:val="1"/>
          <w:bCs w:val="1"/>
          <w:sz w:val="20"/>
          <w:szCs w:val="20"/>
          <w:rtl w:val="0"/>
          <w:lang w:val="fr-FR"/>
        </w:rPr>
        <w:t xml:space="preserve">Introduction </w:t>
      </w:r>
    </w:p>
    <w:p>
      <w:pPr>
        <w:pStyle w:val="Body A"/>
        <w:spacing w:before="100" w:after="100" w:line="360" w:lineRule="auto"/>
        <w:jc w:val="both"/>
        <w:rPr>
          <w:sz w:val="20"/>
          <w:szCs w:val="20"/>
        </w:rPr>
      </w:pPr>
      <w:r>
        <w:rPr>
          <w:sz w:val="20"/>
          <w:szCs w:val="20"/>
          <w:rtl w:val="0"/>
          <w:lang w:val="de-DE"/>
        </w:rPr>
        <w:t>This supplement includes the age models for ODP sites 1090, 748, 689 (Figures S1 to S3), as well as for ODP Site 738 (Figure S4) as we compare our results to published data from this site, and the age model(s) are relevant to our interpretations. It also includes sedimentation rates compared to biogenic barium accumulation rates (Figure S5). Tables S1 and S2 show the data included in our compilation of Neodymium isotopes and atmospheric carbon dioxide.</w:t>
      </w:r>
    </w:p>
    <w:p>
      <w:pPr>
        <w:pStyle w:val="Body A"/>
        <w:rPr>
          <w:b w:val="1"/>
          <w:bCs w:val="1"/>
          <w:sz w:val="20"/>
          <w:szCs w:val="20"/>
        </w:rPr>
      </w:pPr>
    </w:p>
    <w:p>
      <w:pPr>
        <w:pStyle w:val="Body A"/>
        <w:rPr>
          <w:b w:val="1"/>
          <w:bCs w:val="1"/>
          <w:sz w:val="20"/>
          <w:szCs w:val="20"/>
        </w:rPr>
      </w:pPr>
    </w:p>
    <w:p>
      <w:pPr>
        <w:pStyle w:val="Body A"/>
        <w:rPr>
          <w:b w:val="1"/>
          <w:bCs w:val="1"/>
          <w:sz w:val="20"/>
          <w:szCs w:val="20"/>
        </w:rPr>
      </w:pPr>
    </w:p>
    <w:p>
      <w:pPr>
        <w:pStyle w:val="Body A"/>
        <w:rPr>
          <w:b w:val="1"/>
          <w:bCs w:val="1"/>
          <w:sz w:val="20"/>
          <w:szCs w:val="20"/>
        </w:rPr>
      </w:pPr>
    </w:p>
    <w:p>
      <w:pPr>
        <w:pStyle w:val="Body A"/>
        <w:rPr>
          <w:b w:val="1"/>
          <w:bCs w:val="1"/>
          <w:sz w:val="20"/>
          <w:szCs w:val="20"/>
        </w:rPr>
      </w:pPr>
    </w:p>
    <w:p>
      <w:pPr>
        <w:pStyle w:val="Body A"/>
        <w:rPr>
          <w:b w:val="1"/>
          <w:bCs w:val="1"/>
          <w:sz w:val="20"/>
          <w:szCs w:val="20"/>
        </w:rPr>
      </w:pPr>
    </w:p>
    <w:p>
      <w:pPr>
        <w:pStyle w:val="Body A"/>
        <w:rPr>
          <w:b w:val="1"/>
          <w:bCs w:val="1"/>
          <w:sz w:val="20"/>
          <w:szCs w:val="20"/>
        </w:rPr>
      </w:pPr>
    </w:p>
    <w:p>
      <w:pPr>
        <w:pStyle w:val="Body A"/>
        <w:rPr>
          <w:b w:val="1"/>
          <w:bCs w:val="1"/>
          <w:sz w:val="20"/>
          <w:szCs w:val="20"/>
        </w:rPr>
      </w:pPr>
    </w:p>
    <w:p>
      <w:pPr>
        <w:pStyle w:val="Body A"/>
        <w:rPr>
          <w:b w:val="1"/>
          <w:bCs w:val="1"/>
          <w:sz w:val="20"/>
          <w:szCs w:val="20"/>
        </w:rPr>
      </w:pPr>
    </w:p>
    <w:p>
      <w:pPr>
        <w:pStyle w:val="Body A"/>
        <w:rPr>
          <w:b w:val="1"/>
          <w:bCs w:val="1"/>
          <w:sz w:val="20"/>
          <w:szCs w:val="20"/>
        </w:rPr>
      </w:pPr>
    </w:p>
    <w:p>
      <w:pPr>
        <w:pStyle w:val="Body A"/>
        <w:rPr>
          <w:b w:val="1"/>
          <w:bCs w:val="1"/>
          <w:sz w:val="20"/>
          <w:szCs w:val="20"/>
        </w:rPr>
      </w:pPr>
    </w:p>
    <w:p>
      <w:pPr>
        <w:pStyle w:val="Body A"/>
        <w:rPr>
          <w:b w:val="1"/>
          <w:bCs w:val="1"/>
          <w:sz w:val="20"/>
          <w:szCs w:val="20"/>
        </w:rPr>
      </w:pPr>
    </w:p>
    <w:p>
      <w:pPr>
        <w:pStyle w:val="Body A"/>
        <w:rPr>
          <w:b w:val="1"/>
          <w:bCs w:val="1"/>
          <w:sz w:val="20"/>
          <w:szCs w:val="20"/>
        </w:rPr>
      </w:pPr>
    </w:p>
    <w:p>
      <w:pPr>
        <w:pStyle w:val="Body A"/>
      </w:pPr>
      <w:r>
        <w:rPr>
          <w:rFonts w:ascii="Arial Unicode MS" w:cs="Arial Unicode MS" w:hAnsi="Arial Unicode MS" w:eastAsia="Arial Unicode MS"/>
          <w:b w:val="0"/>
          <w:bCs w:val="0"/>
          <w:i w:val="0"/>
          <w:iCs w:val="0"/>
        </w:rPr>
        <w:br w:type="page"/>
      </w:r>
    </w:p>
    <w:p>
      <w:pPr>
        <w:pStyle w:val="Body A"/>
        <w:rPr>
          <w:b w:val="1"/>
          <w:bCs w:val="1"/>
          <w:sz w:val="20"/>
          <w:szCs w:val="20"/>
        </w:rPr>
      </w:pPr>
    </w:p>
    <w:p>
      <w:pPr>
        <w:pStyle w:val="Body A"/>
        <w:jc w:val="both"/>
        <w:rPr>
          <w:rStyle w:val="None"/>
          <w:b w:val="1"/>
          <w:bCs w:val="1"/>
          <w:sz w:val="20"/>
          <w:szCs w:val="20"/>
        </w:rPr>
      </w:pPr>
      <w:r>
        <w:rPr>
          <w:b w:val="1"/>
          <w:bCs w:val="1"/>
          <w:sz w:val="20"/>
          <w:szCs w:val="20"/>
          <w:rtl w:val="0"/>
          <w:lang w:val="en-US"/>
        </w:rPr>
        <w:t>Figure S1. Age depth plot, ODP Site 1090. This site benefits from a robust</w:t>
      </w:r>
      <w:r>
        <w:rPr>
          <w:b w:val="1"/>
          <w:bCs w:val="1"/>
          <w:sz w:val="20"/>
          <w:szCs w:val="20"/>
          <w:rtl w:val="0"/>
          <w:lang w:val="de-DE"/>
        </w:rPr>
        <w:t xml:space="preserve"> </w:t>
      </w:r>
      <w:r>
        <w:rPr>
          <w:b w:val="1"/>
          <w:bCs w:val="1"/>
          <w:sz w:val="20"/>
          <w:szCs w:val="20"/>
          <w:rtl w:val="0"/>
          <w:lang w:val="fr-FR"/>
        </w:rPr>
        <w:t>paleomagnetic stratigraphy</w:t>
      </w:r>
      <w:r>
        <w:rPr>
          <w:lang w:val="de-DE"/>
        </w:rPr>
        <w:drawing xmlns:a="http://schemas.openxmlformats.org/drawingml/2006/main">
          <wp:anchor distT="0" distB="0" distL="0" distR="0" simplePos="0" relativeHeight="251659264" behindDoc="0" locked="0" layoutInCell="1" allowOverlap="1">
            <wp:simplePos x="0" y="0"/>
            <wp:positionH relativeFrom="page">
              <wp:posOffset>869314</wp:posOffset>
            </wp:positionH>
            <wp:positionV relativeFrom="page">
              <wp:posOffset>263525</wp:posOffset>
            </wp:positionV>
            <wp:extent cx="6021706" cy="4547870"/>
            <wp:effectExtent l="0" t="0" r="0" b="0"/>
            <wp:wrapTopAndBottom distT="0" distB="0"/>
            <wp:docPr id="1073741825" name="officeArt object" descr="Image"/>
            <wp:cNvGraphicFramePr/>
            <a:graphic xmlns:a="http://schemas.openxmlformats.org/drawingml/2006/main">
              <a:graphicData uri="http://schemas.openxmlformats.org/drawingml/2006/picture">
                <pic:pic xmlns:pic="http://schemas.openxmlformats.org/drawingml/2006/picture">
                  <pic:nvPicPr>
                    <pic:cNvPr id="1073741825" name="Image" descr="Image"/>
                    <pic:cNvPicPr>
                      <a:picLocks noChangeAspect="1"/>
                    </pic:cNvPicPr>
                  </pic:nvPicPr>
                  <pic:blipFill>
                    <a:blip r:embed="rId4">
                      <a:extLst/>
                    </a:blip>
                    <a:srcRect l="7119" t="3703" r="5811" b="1286"/>
                    <a:stretch>
                      <a:fillRect/>
                    </a:stretch>
                  </pic:blipFill>
                  <pic:spPr>
                    <a:xfrm>
                      <a:off x="0" y="0"/>
                      <a:ext cx="6021706" cy="4547870"/>
                    </a:xfrm>
                    <a:prstGeom prst="rect">
                      <a:avLst/>
                    </a:prstGeom>
                    <a:ln w="12700" cap="flat">
                      <a:noFill/>
                      <a:miter lim="400000"/>
                    </a:ln>
                    <a:effectLst/>
                  </pic:spPr>
                </pic:pic>
              </a:graphicData>
            </a:graphic>
          </wp:anchor>
        </w:drawing>
      </w:r>
      <w:r>
        <w:rPr>
          <w:b w:val="1"/>
          <w:bCs w:val="1"/>
          <w:sz w:val="20"/>
          <w:szCs w:val="20"/>
          <w:rtl w:val="0"/>
          <w:lang w:val="en-US"/>
        </w:rPr>
        <w:t xml:space="preserve"> supported by coherent multiple fossil group biostratigraphy, and in the late Eocene - Oligocene strontium isotope stratigraphy.  Sources of </w:t>
      </w:r>
      <w:r>
        <w:rPr>
          <w:b w:val="1"/>
          <w:bCs w:val="1"/>
          <w:sz w:val="20"/>
          <w:szCs w:val="20"/>
          <w:rtl w:val="0"/>
          <w:lang w:val="de-DE"/>
        </w:rPr>
        <w:t>geochronological</w:t>
      </w:r>
      <w:r>
        <w:rPr>
          <w:b w:val="1"/>
          <w:bCs w:val="1"/>
          <w:sz w:val="20"/>
          <w:szCs w:val="20"/>
          <w:rtl w:val="0"/>
          <w:lang w:val="en-US"/>
        </w:rPr>
        <w:t xml:space="preserve"> data and interpretations are given in detail in Channell et al. (2003).  D - diatom, F - planktonic foraminifera, I - isotope (Strontium, Oxygen event, etc.), M - paleomagnetic stratigraphy reversal boundary pick, N - calcareous nannofossil,  R - radiolaria; B - bottom, T - top.  Other plotting conventions for these and other age depth plots in this SOM are given in the description of the plotting program ADP (Renaudie et al., 2020) and the companion user guide to the program (https://github.com/plannapus/nsb_adp_wx/releases).  All age models, and the data used to create them, are available at the NSB website (</w:t>
      </w:r>
      <w:r>
        <w:rPr>
          <w:rStyle w:val="Hyperlink.0"/>
          <w:b w:val="1"/>
          <w:bCs w:val="1"/>
          <w:outline w:val="0"/>
          <w:color w:val="0000ff"/>
          <w:sz w:val="20"/>
          <w:szCs w:val="20"/>
          <w:u w:val="single" w:color="0000ff"/>
          <w:lang w:val="de-DE"/>
          <w14:textFill>
            <w14:solidFill>
              <w14:srgbClr w14:val="0000FF"/>
            </w14:solidFill>
          </w14:textFill>
        </w:rPr>
        <w:fldChar w:fldCharType="begin" w:fldLock="0"/>
      </w:r>
      <w:r>
        <w:rPr>
          <w:rStyle w:val="Hyperlink.0"/>
          <w:b w:val="1"/>
          <w:bCs w:val="1"/>
          <w:outline w:val="0"/>
          <w:color w:val="0000ff"/>
          <w:sz w:val="20"/>
          <w:szCs w:val="20"/>
          <w:u w:val="single" w:color="0000ff"/>
          <w:lang w:val="de-DE"/>
          <w14:textFill>
            <w14:solidFill>
              <w14:srgbClr w14:val="0000FF"/>
            </w14:solidFill>
          </w14:textFill>
        </w:rPr>
        <w:instrText xml:space="preserve"> HYPERLINK "https://nsb.mfn-berlin.de/"</w:instrText>
      </w:r>
      <w:r>
        <w:rPr>
          <w:rStyle w:val="Hyperlink.0"/>
          <w:b w:val="1"/>
          <w:bCs w:val="1"/>
          <w:outline w:val="0"/>
          <w:color w:val="0000ff"/>
          <w:sz w:val="20"/>
          <w:szCs w:val="20"/>
          <w:u w:val="single" w:color="0000ff"/>
          <w:lang w:val="de-DE"/>
          <w14:textFill>
            <w14:solidFill>
              <w14:srgbClr w14:val="0000FF"/>
            </w14:solidFill>
          </w14:textFill>
        </w:rPr>
        <w:fldChar w:fldCharType="separate" w:fldLock="0"/>
      </w:r>
      <w:r>
        <w:rPr>
          <w:rStyle w:val="Hyperlink.0"/>
          <w:b w:val="1"/>
          <w:bCs w:val="1"/>
          <w:outline w:val="0"/>
          <w:color w:val="0000ff"/>
          <w:sz w:val="20"/>
          <w:szCs w:val="20"/>
          <w:u w:val="single" w:color="0000ff"/>
          <w:rtl w:val="0"/>
          <w:lang w:val="de-DE"/>
          <w14:textFill>
            <w14:solidFill>
              <w14:srgbClr w14:val="0000FF"/>
            </w14:solidFill>
          </w14:textFill>
        </w:rPr>
        <w:t>https://nsb.mfn-berlin.de</w:t>
      </w:r>
      <w:r>
        <w:rPr/>
        <w:fldChar w:fldCharType="end" w:fldLock="0"/>
      </w:r>
      <w:r>
        <w:rPr>
          <w:rStyle w:val="None"/>
          <w:b w:val="1"/>
          <w:bCs w:val="1"/>
          <w:sz w:val="20"/>
          <w:szCs w:val="20"/>
          <w:rtl w:val="0"/>
          <w:lang w:val="de-DE"/>
        </w:rPr>
        <w:t>)</w:t>
      </w:r>
    </w:p>
    <w:p>
      <w:pPr>
        <w:pStyle w:val="SM Heading"/>
        <w:jc w:val="both"/>
      </w:pPr>
      <w:r>
        <w:rPr>
          <w:rStyle w:val="None"/>
          <w:rFonts w:ascii="Arial Unicode MS" w:cs="Arial Unicode MS" w:hAnsi="Arial Unicode MS" w:eastAsia="Arial Unicode MS"/>
          <w:b w:val="0"/>
          <w:bCs w:val="0"/>
          <w:i w:val="0"/>
          <w:iCs w:val="0"/>
        </w:rPr>
        <w:br w:type="page"/>
      </w:r>
    </w:p>
    <w:p>
      <w:pPr>
        <w:pStyle w:val="SM Heading"/>
        <w:jc w:val="both"/>
        <w:rPr>
          <w:rStyle w:val="None"/>
          <w:rFonts w:ascii="Myriad Pro" w:cs="Myriad Pro" w:hAnsi="Myriad Pro" w:eastAsia="Myriad Pro"/>
        </w:rPr>
      </w:pPr>
      <w:r>
        <w:rPr>
          <w:rStyle w:val="None"/>
          <w:rFonts w:ascii="Myriad Pro" w:cs="Myriad Pro" w:hAnsi="Myriad Pro" w:eastAsia="Myriad Pro"/>
        </w:rPr>
        <w:drawing xmlns:a="http://schemas.openxmlformats.org/drawingml/2006/main">
          <wp:anchor distT="0" distB="0" distL="0" distR="0" simplePos="0" relativeHeight="251664384" behindDoc="0" locked="0" layoutInCell="1" allowOverlap="1">
            <wp:simplePos x="0" y="0"/>
            <wp:positionH relativeFrom="column">
              <wp:posOffset>279400</wp:posOffset>
            </wp:positionH>
            <wp:positionV relativeFrom="line">
              <wp:posOffset>3688080</wp:posOffset>
            </wp:positionV>
            <wp:extent cx="5344160" cy="3549015"/>
            <wp:effectExtent l="0" t="0" r="0" b="0"/>
            <wp:wrapTopAndBottom distT="0" distB="0"/>
            <wp:docPr id="1073741826" name="officeArt object" descr="Image"/>
            <wp:cNvGraphicFramePr/>
            <a:graphic xmlns:a="http://schemas.openxmlformats.org/drawingml/2006/main">
              <a:graphicData uri="http://schemas.openxmlformats.org/drawingml/2006/picture">
                <pic:pic xmlns:pic="http://schemas.openxmlformats.org/drawingml/2006/picture">
                  <pic:nvPicPr>
                    <pic:cNvPr id="1073741826" name="Image" descr="Image"/>
                    <pic:cNvPicPr>
                      <a:picLocks noChangeAspect="1"/>
                    </pic:cNvPicPr>
                  </pic:nvPicPr>
                  <pic:blipFill>
                    <a:blip r:embed="rId5">
                      <a:extLst/>
                    </a:blip>
                    <a:srcRect l="6686" t="3974" r="4396" b="1002"/>
                    <a:stretch>
                      <a:fillRect/>
                    </a:stretch>
                  </pic:blipFill>
                  <pic:spPr>
                    <a:xfrm>
                      <a:off x="0" y="0"/>
                      <a:ext cx="5344160" cy="3549015"/>
                    </a:xfrm>
                    <a:prstGeom prst="rect">
                      <a:avLst/>
                    </a:prstGeom>
                    <a:ln w="12700" cap="flat">
                      <a:noFill/>
                      <a:miter lim="400000"/>
                    </a:ln>
                    <a:effectLst/>
                  </pic:spPr>
                </pic:pic>
              </a:graphicData>
            </a:graphic>
          </wp:anchor>
        </w:drawing>
      </w:r>
    </w:p>
    <w:p>
      <w:pPr>
        <w:pStyle w:val="SM Heading"/>
        <w:jc w:val="both"/>
        <w:rPr>
          <w:rStyle w:val="None"/>
          <w:sz w:val="20"/>
          <w:szCs w:val="20"/>
        </w:rPr>
      </w:pPr>
      <w:r>
        <w:rPr>
          <w:rStyle w:val="None"/>
          <w:sz w:val="20"/>
          <w:szCs w:val="20"/>
        </w:rPr>
        <w:drawing xmlns:a="http://schemas.openxmlformats.org/drawingml/2006/main">
          <wp:anchor distT="0" distB="0" distL="0" distR="0" simplePos="0" relativeHeight="251663360" behindDoc="0" locked="0" layoutInCell="1" allowOverlap="1">
            <wp:simplePos x="0" y="0"/>
            <wp:positionH relativeFrom="page">
              <wp:posOffset>1285240</wp:posOffset>
            </wp:positionH>
            <wp:positionV relativeFrom="page">
              <wp:posOffset>422275</wp:posOffset>
            </wp:positionV>
            <wp:extent cx="5344160" cy="4043045"/>
            <wp:effectExtent l="0" t="0" r="0" b="0"/>
            <wp:wrapTopAndBottom distT="0" distB="0"/>
            <wp:docPr id="1073741827" name="officeArt object" descr="Image"/>
            <wp:cNvGraphicFramePr/>
            <a:graphic xmlns:a="http://schemas.openxmlformats.org/drawingml/2006/main">
              <a:graphicData uri="http://schemas.openxmlformats.org/drawingml/2006/picture">
                <pic:pic xmlns:pic="http://schemas.openxmlformats.org/drawingml/2006/picture">
                  <pic:nvPicPr>
                    <pic:cNvPr id="1073741827" name="Image" descr="Image"/>
                    <pic:cNvPicPr>
                      <a:picLocks noChangeAspect="1"/>
                    </pic:cNvPicPr>
                  </pic:nvPicPr>
                  <pic:blipFill>
                    <a:blip r:embed="rId6">
                      <a:extLst/>
                    </a:blip>
                    <a:srcRect l="0" t="3712" r="4445" b="705"/>
                    <a:stretch>
                      <a:fillRect/>
                    </a:stretch>
                  </pic:blipFill>
                  <pic:spPr>
                    <a:xfrm>
                      <a:off x="0" y="0"/>
                      <a:ext cx="5344160" cy="4043045"/>
                    </a:xfrm>
                    <a:prstGeom prst="rect">
                      <a:avLst/>
                    </a:prstGeom>
                    <a:ln w="12700" cap="flat">
                      <a:noFill/>
                      <a:miter lim="400000"/>
                    </a:ln>
                    <a:effectLst/>
                  </pic:spPr>
                </pic:pic>
              </a:graphicData>
            </a:graphic>
          </wp:anchor>
        </w:drawing>
      </w:r>
    </w:p>
    <w:p>
      <w:pPr>
        <w:pStyle w:val="SM Heading"/>
        <w:jc w:val="both"/>
        <w:rPr>
          <w:rStyle w:val="None"/>
          <w:sz w:val="20"/>
          <w:szCs w:val="20"/>
        </w:rPr>
      </w:pPr>
    </w:p>
    <w:p>
      <w:pPr>
        <w:pStyle w:val="SM Heading"/>
        <w:jc w:val="both"/>
        <w:rPr>
          <w:rStyle w:val="None"/>
          <w:sz w:val="20"/>
          <w:szCs w:val="20"/>
        </w:rPr>
      </w:pPr>
    </w:p>
    <w:p>
      <w:pPr>
        <w:pStyle w:val="SM Heading"/>
        <w:jc w:val="both"/>
        <w:rPr>
          <w:rStyle w:val="None"/>
          <w:sz w:val="20"/>
          <w:szCs w:val="20"/>
        </w:rPr>
      </w:pPr>
    </w:p>
    <w:p>
      <w:pPr>
        <w:pStyle w:val="SM Heading"/>
        <w:jc w:val="both"/>
        <w:rPr>
          <w:rStyle w:val="None"/>
          <w:sz w:val="20"/>
          <w:szCs w:val="20"/>
        </w:rPr>
      </w:pPr>
    </w:p>
    <w:p>
      <w:pPr>
        <w:pStyle w:val="SM Heading"/>
        <w:jc w:val="both"/>
        <w:rPr>
          <w:rStyle w:val="None"/>
          <w:sz w:val="20"/>
          <w:szCs w:val="20"/>
        </w:rPr>
      </w:pPr>
      <w:r>
        <w:rPr>
          <w:rStyle w:val="None"/>
          <w:sz w:val="20"/>
          <w:szCs w:val="20"/>
        </w:rPr>
        <w:drawing xmlns:a="http://schemas.openxmlformats.org/drawingml/2006/main">
          <wp:anchor distT="0" distB="0" distL="0" distR="0" simplePos="0" relativeHeight="251665408" behindDoc="0" locked="0" layoutInCell="1" allowOverlap="1">
            <wp:simplePos x="0" y="0"/>
            <wp:positionH relativeFrom="column">
              <wp:posOffset>346075</wp:posOffset>
            </wp:positionH>
            <wp:positionV relativeFrom="line">
              <wp:posOffset>196850</wp:posOffset>
            </wp:positionV>
            <wp:extent cx="4895215" cy="3311525"/>
            <wp:effectExtent l="0" t="0" r="0" b="0"/>
            <wp:wrapTopAndBottom distT="0" distB="0"/>
            <wp:docPr id="1073741828" name="officeArt object" descr="Image"/>
            <wp:cNvGraphicFramePr/>
            <a:graphic xmlns:a="http://schemas.openxmlformats.org/drawingml/2006/main">
              <a:graphicData uri="http://schemas.openxmlformats.org/drawingml/2006/picture">
                <pic:pic xmlns:pic="http://schemas.openxmlformats.org/drawingml/2006/picture">
                  <pic:nvPicPr>
                    <pic:cNvPr id="1073741828" name="Image" descr="Image"/>
                    <pic:cNvPicPr>
                      <a:picLocks noChangeAspect="1"/>
                    </pic:cNvPicPr>
                  </pic:nvPicPr>
                  <pic:blipFill>
                    <a:blip r:embed="rId7">
                      <a:extLst/>
                    </a:blip>
                    <a:srcRect l="0" t="0" r="1252" b="0"/>
                    <a:stretch>
                      <a:fillRect/>
                    </a:stretch>
                  </pic:blipFill>
                  <pic:spPr>
                    <a:xfrm>
                      <a:off x="0" y="0"/>
                      <a:ext cx="4895215" cy="3311525"/>
                    </a:xfrm>
                    <a:prstGeom prst="rect">
                      <a:avLst/>
                    </a:prstGeom>
                    <a:ln w="12700" cap="flat">
                      <a:noFill/>
                      <a:miter lim="400000"/>
                    </a:ln>
                    <a:effectLst/>
                  </pic:spPr>
                </pic:pic>
              </a:graphicData>
            </a:graphic>
          </wp:anchor>
        </w:drawing>
      </w:r>
    </w:p>
    <w:p>
      <w:pPr>
        <w:pStyle w:val="SM Heading"/>
        <w:jc w:val="both"/>
        <w:rPr>
          <w:rStyle w:val="None"/>
          <w:rFonts w:ascii="Myriad Pro" w:cs="Myriad Pro" w:hAnsi="Myriad Pro" w:eastAsia="Myriad Pro"/>
          <w:b w:val="0"/>
          <w:bCs w:val="0"/>
          <w:sz w:val="22"/>
          <w:szCs w:val="22"/>
        </w:rPr>
      </w:pPr>
      <w:r>
        <w:rPr>
          <w:rStyle w:val="None"/>
          <w:sz w:val="20"/>
          <w:szCs w:val="20"/>
          <w:rtl w:val="0"/>
          <w:lang w:val="en-US"/>
        </w:rPr>
        <w:t>Figure S</w:t>
      </w:r>
      <w:r>
        <w:rPr>
          <w:rStyle w:val="None"/>
          <w:sz w:val="20"/>
          <w:szCs w:val="20"/>
          <w:rtl w:val="0"/>
          <w:lang w:val="de-DE"/>
        </w:rPr>
        <w:t xml:space="preserve">2 a-c </w:t>
      </w:r>
      <w:r>
        <w:rPr>
          <w:rStyle w:val="None"/>
          <w:sz w:val="20"/>
          <w:szCs w:val="20"/>
          <w:rtl w:val="0"/>
          <w:lang w:val="en-US"/>
        </w:rPr>
        <w:t>Southern Ocean, Maud Rise ODP Site 689, holes B (top) and D (bottom) age-depth plots, and a cross-plot showing coherency between holes.</w:t>
      </w:r>
      <w:r>
        <w:rPr>
          <w:rStyle w:val="None"/>
          <w:sz w:val="20"/>
          <w:szCs w:val="20"/>
          <w:rtl w:val="0"/>
          <w:lang w:val="de-DE"/>
        </w:rPr>
        <w:t xml:space="preserve"> </w:t>
      </w:r>
      <w:r>
        <w:rPr>
          <w:rStyle w:val="None"/>
          <w:sz w:val="20"/>
          <w:szCs w:val="20"/>
          <w:rtl w:val="0"/>
          <w:lang w:val="en-US"/>
        </w:rPr>
        <w:t>This site has had multiple rounds of stratigraphic study and revision. The original paleomagnetic stratigraphy interpretation of Spiess (</w:t>
      </w:r>
      <w:r>
        <w:rPr>
          <w:rStyle w:val="None"/>
          <w:sz w:val="20"/>
          <w:szCs w:val="20"/>
          <w:rtl w:val="0"/>
          <w:lang w:val="de-DE"/>
        </w:rPr>
        <w:t>1990</w:t>
      </w:r>
      <w:r>
        <w:rPr>
          <w:rStyle w:val="None"/>
          <w:sz w:val="20"/>
          <w:szCs w:val="20"/>
          <w:rtl w:val="0"/>
          <w:lang w:val="en-US"/>
        </w:rPr>
        <w:t>) for Hole B was re-evaluated and questionable magnetic data removed from the polarity interpretation (shown  along the depth axis on left). Polarity intervals based on single samples were removed, and intervals of more than a couple meters with no measurements were shown as no data rather than as a continuous polarity interval.</w:t>
      </w:r>
      <w:r>
        <w:rPr>
          <w:rStyle w:val="None"/>
          <w:sz w:val="20"/>
          <w:szCs w:val="20"/>
          <w:rtl w:val="0"/>
          <w:lang w:val="de-DE"/>
        </w:rPr>
        <w:t xml:space="preserve"> </w:t>
      </w:r>
      <w:r>
        <w:rPr>
          <w:rStyle w:val="None"/>
          <w:sz w:val="20"/>
          <w:szCs w:val="20"/>
          <w:rtl w:val="0"/>
          <w:lang w:val="en-US"/>
        </w:rPr>
        <w:t>Florindo et al. (2005) created new data for Hole D and cross-compared the holes at selected intervals. This evaluation was used and extended to other depth intervals here, and as a result some polarity reversal boundaries were re-assigned to a different GPTS boundary. Both the older and new picks are shown on the plot for Hole 689B.</w:t>
      </w:r>
      <w:r>
        <w:rPr>
          <w:rStyle w:val="None"/>
          <w:sz w:val="20"/>
          <w:szCs w:val="20"/>
          <w:rtl w:val="0"/>
          <w:lang w:val="de-DE"/>
        </w:rPr>
        <w:t xml:space="preserve"> </w:t>
      </w:r>
      <w:r>
        <w:rPr>
          <w:rStyle w:val="None"/>
          <w:sz w:val="20"/>
          <w:szCs w:val="20"/>
          <w:rtl w:val="0"/>
          <w:lang w:val="en-US"/>
        </w:rPr>
        <w:t>As noted by Florindo et al. (2005)</w:t>
      </w:r>
      <w:r>
        <w:rPr>
          <w:rStyle w:val="None"/>
          <w:sz w:val="20"/>
          <w:szCs w:val="20"/>
          <w:rtl w:val="0"/>
          <w:lang w:val="de-DE"/>
        </w:rPr>
        <w:t xml:space="preserve"> </w:t>
      </w:r>
      <w:r>
        <w:rPr>
          <w:rStyle w:val="None"/>
          <w:sz w:val="20"/>
          <w:szCs w:val="20"/>
          <w:rtl w:val="0"/>
          <w:lang w:val="en-US"/>
        </w:rPr>
        <w:t xml:space="preserve">paleomagnetic stratigraphy at this site becomes unreliable below about 38 Ma. </w:t>
      </w:r>
    </w:p>
    <w:p>
      <w:pPr>
        <w:pStyle w:val="SM Heading"/>
      </w:pPr>
      <w:r>
        <w:rPr>
          <w:rStyle w:val="None"/>
        </w:rPr>
        <w:drawing xmlns:a="http://schemas.openxmlformats.org/drawingml/2006/main">
          <wp:inline distT="0" distB="0" distL="0" distR="0">
            <wp:extent cx="5325746" cy="4347210"/>
            <wp:effectExtent l="0" t="0" r="0" b="0"/>
            <wp:docPr id="1073741829" name="officeArt object" descr="Image"/>
            <wp:cNvGraphicFramePr/>
            <a:graphic xmlns:a="http://schemas.openxmlformats.org/drawingml/2006/main">
              <a:graphicData uri="http://schemas.openxmlformats.org/drawingml/2006/picture">
                <pic:pic xmlns:pic="http://schemas.openxmlformats.org/drawingml/2006/picture">
                  <pic:nvPicPr>
                    <pic:cNvPr id="1073741829" name="Image" descr="Image"/>
                    <pic:cNvPicPr>
                      <a:picLocks noChangeAspect="1"/>
                    </pic:cNvPicPr>
                  </pic:nvPicPr>
                  <pic:blipFill>
                    <a:blip r:embed="rId8">
                      <a:extLst/>
                    </a:blip>
                    <a:srcRect l="5984" t="6392" r="5321" b="1920"/>
                    <a:stretch>
                      <a:fillRect/>
                    </a:stretch>
                  </pic:blipFill>
                  <pic:spPr>
                    <a:xfrm>
                      <a:off x="0" y="0"/>
                      <a:ext cx="5325746" cy="4347210"/>
                    </a:xfrm>
                    <a:prstGeom prst="rect">
                      <a:avLst/>
                    </a:prstGeom>
                    <a:ln w="12700" cap="flat">
                      <a:noFill/>
                      <a:miter lim="400000"/>
                    </a:ln>
                    <a:effectLst/>
                  </pic:spPr>
                </pic:pic>
              </a:graphicData>
            </a:graphic>
          </wp:inline>
        </w:drawing>
      </w:r>
    </w:p>
    <w:p>
      <w:pPr>
        <w:pStyle w:val="SM Heading"/>
        <w:jc w:val="both"/>
        <w:rPr>
          <w:rStyle w:val="None"/>
          <w:sz w:val="20"/>
          <w:szCs w:val="20"/>
        </w:rPr>
      </w:pPr>
      <w:r>
        <w:rPr>
          <w:rStyle w:val="None"/>
          <w:sz w:val="20"/>
          <w:szCs w:val="20"/>
          <w:rtl w:val="0"/>
          <w:lang w:val="en-US"/>
        </w:rPr>
        <w:t>Figure S</w:t>
      </w:r>
      <w:r>
        <w:rPr>
          <w:rStyle w:val="None"/>
          <w:sz w:val="20"/>
          <w:szCs w:val="20"/>
          <w:rtl w:val="0"/>
          <w:lang w:val="de-DE"/>
        </w:rPr>
        <w:t>3:</w:t>
      </w:r>
      <w:r>
        <w:rPr>
          <w:rStyle w:val="None"/>
          <w:sz w:val="20"/>
          <w:szCs w:val="20"/>
          <w:rtl w:val="0"/>
          <w:lang w:val="en-US"/>
        </w:rPr>
        <w:t xml:space="preserve"> Southern Ocean, Kerguelen Plateau, ODP Site 748, hole B, age-depth plot.  The Paleogene part of this Site was restudied, diatom events were recalibrated, strontium isotope</w:t>
      </w:r>
      <w:r>
        <w:rPr>
          <w:rStyle w:val="None"/>
          <w:sz w:val="20"/>
          <w:szCs w:val="20"/>
          <w:rtl w:val="0"/>
          <w:lang w:val="de-DE"/>
        </w:rPr>
        <w:t xml:space="preserve"> </w:t>
      </w:r>
      <w:r>
        <w:rPr>
          <w:rStyle w:val="None"/>
          <w:sz w:val="20"/>
          <w:szCs w:val="20"/>
          <w:rtl w:val="0"/>
          <w:lang w:val="en-US"/>
        </w:rPr>
        <w:t>data were generated and a new paleomagnetic stratigraphy was developed by Roberts et al (2003). Their interpretation is followed here. The Neogene has not yet been similarly revised.</w:t>
      </w:r>
    </w:p>
    <w:p>
      <w:pPr>
        <w:pStyle w:val="SM Heading"/>
        <w:rPr>
          <w:rStyle w:val="None"/>
          <w:rFonts w:ascii="Myriad Pro" w:cs="Myriad Pro" w:hAnsi="Myriad Pro" w:eastAsia="Myriad Pro"/>
        </w:rPr>
      </w:pPr>
    </w:p>
    <w:p>
      <w:pPr>
        <w:pStyle w:val="SM Heading"/>
        <w:rPr>
          <w:rStyle w:val="None"/>
          <w:rFonts w:ascii="Myriad Pro" w:cs="Myriad Pro" w:hAnsi="Myriad Pro" w:eastAsia="Myriad Pro"/>
        </w:rPr>
      </w:pPr>
    </w:p>
    <w:p>
      <w:pPr>
        <w:pStyle w:val="SM Heading"/>
        <w:rPr>
          <w:rStyle w:val="None"/>
          <w:rFonts w:ascii="Myriad Pro" w:cs="Myriad Pro" w:hAnsi="Myriad Pro" w:eastAsia="Myriad Pro"/>
        </w:rPr>
      </w:pPr>
    </w:p>
    <w:p>
      <w:pPr>
        <w:pStyle w:val="SM Heading"/>
        <w:rPr>
          <w:rStyle w:val="None"/>
          <w:rFonts w:ascii="Myriad Pro" w:cs="Myriad Pro" w:hAnsi="Myriad Pro" w:eastAsia="Myriad Pro"/>
        </w:rPr>
      </w:pPr>
    </w:p>
    <w:p>
      <w:pPr>
        <w:pStyle w:val="SM Heading"/>
        <w:rPr>
          <w:rStyle w:val="None"/>
          <w:rFonts w:ascii="Myriad Pro" w:cs="Myriad Pro" w:hAnsi="Myriad Pro" w:eastAsia="Myriad Pro"/>
        </w:rPr>
      </w:pPr>
    </w:p>
    <w:p>
      <w:pPr>
        <w:pStyle w:val="SM Heading"/>
        <w:rPr>
          <w:rStyle w:val="None"/>
          <w:rFonts w:ascii="Myriad Pro" w:cs="Myriad Pro" w:hAnsi="Myriad Pro" w:eastAsia="Myriad Pro"/>
        </w:rPr>
      </w:pPr>
    </w:p>
    <w:p>
      <w:pPr>
        <w:pStyle w:val="SM Heading"/>
        <w:rPr>
          <w:rStyle w:val="None"/>
          <w:rFonts w:ascii="Myriad Pro" w:cs="Myriad Pro" w:hAnsi="Myriad Pro" w:eastAsia="Myriad Pro"/>
        </w:rPr>
      </w:pPr>
    </w:p>
    <w:p>
      <w:pPr>
        <w:pStyle w:val="SM Heading"/>
        <w:rPr>
          <w:rStyle w:val="None"/>
          <w:rFonts w:ascii="Myriad Pro" w:cs="Myriad Pro" w:hAnsi="Myriad Pro" w:eastAsia="Myriad Pro"/>
        </w:rPr>
      </w:pPr>
    </w:p>
    <w:p>
      <w:pPr>
        <w:pStyle w:val="SM Heading"/>
        <w:rPr>
          <w:rStyle w:val="None"/>
          <w:rFonts w:ascii="Myriad Pro" w:cs="Myriad Pro" w:hAnsi="Myriad Pro" w:eastAsia="Myriad Pro"/>
        </w:rPr>
      </w:pPr>
      <w:r>
        <w:rPr>
          <w:rStyle w:val="None"/>
        </w:rPr>
        <mc:AlternateContent>
          <mc:Choice Requires="wps">
            <w:drawing xmlns:a="http://schemas.openxmlformats.org/drawingml/2006/main">
              <wp:anchor distT="0" distB="0" distL="0" distR="0" simplePos="0" relativeHeight="251670528" behindDoc="0" locked="0" layoutInCell="1" allowOverlap="1">
                <wp:simplePos x="0" y="0"/>
                <wp:positionH relativeFrom="column">
                  <wp:posOffset>528320</wp:posOffset>
                </wp:positionH>
                <wp:positionV relativeFrom="line">
                  <wp:posOffset>66039</wp:posOffset>
                </wp:positionV>
                <wp:extent cx="192969" cy="207011"/>
                <wp:effectExtent l="0" t="0" r="0" b="0"/>
                <wp:wrapNone/>
                <wp:docPr id="1073741830" name="officeArt object" descr="Text Frame 1"/>
                <wp:cNvGraphicFramePr/>
                <a:graphic xmlns:a="http://schemas.openxmlformats.org/drawingml/2006/main">
                  <a:graphicData uri="http://schemas.microsoft.com/office/word/2010/wordprocessingShape">
                    <wps:wsp>
                      <wps:cNvSpPr txBox="1"/>
                      <wps:spPr>
                        <a:xfrm>
                          <a:off x="0" y="0"/>
                          <a:ext cx="192969" cy="207011"/>
                        </a:xfrm>
                        <a:prstGeom prst="rect">
                          <a:avLst/>
                        </a:prstGeom>
                        <a:noFill/>
                        <a:ln w="12700" cap="flat">
                          <a:noFill/>
                          <a:miter lim="400000"/>
                        </a:ln>
                        <a:effectLst/>
                      </wps:spPr>
                      <wps:txbx>
                        <w:txbxContent>
                          <w:p>
                            <w:pPr>
                              <w:pStyle w:val="Body"/>
                              <w:jc w:val="center"/>
                            </w:pPr>
                            <w:r>
                              <w:rPr>
                                <w:rStyle w:val="None"/>
                                <w:b w:val="1"/>
                                <w:bCs w:val="1"/>
                                <w:sz w:val="20"/>
                                <w:szCs w:val="20"/>
                                <w:rtl w:val="0"/>
                                <w:lang w:val="en-US"/>
                              </w:rPr>
                              <w:t>a)</w:t>
                            </w:r>
                          </w:p>
                        </w:txbxContent>
                      </wps:txbx>
                      <wps:bodyPr wrap="square" lIns="0" tIns="0" rIns="0" bIns="0" numCol="1" anchor="t">
                        <a:noAutofit/>
                      </wps:bodyPr>
                    </wps:wsp>
                  </a:graphicData>
                </a:graphic>
              </wp:anchor>
            </w:drawing>
          </mc:Choice>
          <mc:Fallback>
            <w:pict>
              <v:shape id="_x0000_s1026" type="#_x0000_t202" style="visibility:visible;position:absolute;margin-left:41.6pt;margin-top:5.2pt;width:15.2pt;height:16.3pt;z-index:251670528;mso-position-horizontal:absolute;mso-position-horizontal-relative:text;mso-position-vertical:absolute;mso-position-vertical-relative:line;mso-wrap-distance-left:0.0pt;mso-wrap-distance-top:0.0pt;mso-wrap-distance-right:0.0pt;mso-wrap-distance-bottom:0.0pt;">
                <v:fill on="f"/>
                <v:stroke on="f" weight="1.0pt" dashstyle="solid" endcap="flat" miterlimit="400.0%" joinstyle="miter" linestyle="single" startarrow="none" startarrowwidth="medium" startarrowlength="medium" endarrow="none" endarrowwidth="medium" endarrowlength="medium"/>
                <v:textbox>
                  <w:txbxContent>
                    <w:p>
                      <w:pPr>
                        <w:pStyle w:val="Body"/>
                        <w:jc w:val="center"/>
                      </w:pPr>
                      <w:r>
                        <w:rPr>
                          <w:rStyle w:val="None"/>
                          <w:b w:val="1"/>
                          <w:bCs w:val="1"/>
                          <w:sz w:val="20"/>
                          <w:szCs w:val="20"/>
                          <w:rtl w:val="0"/>
                          <w:lang w:val="en-US"/>
                        </w:rPr>
                        <w:t>a)</w:t>
                      </w:r>
                    </w:p>
                  </w:txbxContent>
                </v:textbox>
                <w10:wrap type="none" side="bothSides" anchorx="text"/>
              </v:shape>
            </w:pict>
          </mc:Fallback>
        </mc:AlternateContent>
      </w:r>
      <w:r>
        <w:rPr>
          <w:rStyle w:val="None"/>
        </w:rPr>
        <w:drawing xmlns:a="http://schemas.openxmlformats.org/drawingml/2006/main">
          <wp:anchor distT="0" distB="0" distL="0" distR="0" simplePos="0" relativeHeight="251667456" behindDoc="0" locked="0" layoutInCell="1" allowOverlap="1">
            <wp:simplePos x="0" y="0"/>
            <wp:positionH relativeFrom="page">
              <wp:posOffset>1565274</wp:posOffset>
            </wp:positionH>
            <wp:positionV relativeFrom="line">
              <wp:posOffset>381000</wp:posOffset>
            </wp:positionV>
            <wp:extent cx="4921251" cy="3969385"/>
            <wp:effectExtent l="0" t="0" r="0" b="0"/>
            <wp:wrapTopAndBottom distT="0" distB="0"/>
            <wp:docPr id="1073741831" name="officeArt object" descr="Image"/>
            <wp:cNvGraphicFramePr/>
            <a:graphic xmlns:a="http://schemas.openxmlformats.org/drawingml/2006/main">
              <a:graphicData uri="http://schemas.openxmlformats.org/drawingml/2006/picture">
                <pic:pic xmlns:pic="http://schemas.openxmlformats.org/drawingml/2006/picture">
                  <pic:nvPicPr>
                    <pic:cNvPr id="1073741831" name="Image" descr="Image"/>
                    <pic:cNvPicPr>
                      <a:picLocks noChangeAspect="1"/>
                    </pic:cNvPicPr>
                  </pic:nvPicPr>
                  <pic:blipFill>
                    <a:blip r:embed="rId9">
                      <a:extLst/>
                    </a:blip>
                    <a:srcRect l="0" t="0" r="1049" b="905"/>
                    <a:stretch>
                      <a:fillRect/>
                    </a:stretch>
                  </pic:blipFill>
                  <pic:spPr>
                    <a:xfrm>
                      <a:off x="0" y="0"/>
                      <a:ext cx="4921251" cy="3969385"/>
                    </a:xfrm>
                    <a:prstGeom prst="rect">
                      <a:avLst/>
                    </a:prstGeom>
                    <a:ln w="12700" cap="flat">
                      <a:noFill/>
                      <a:miter lim="400000"/>
                    </a:ln>
                    <a:effectLst/>
                  </pic:spPr>
                </pic:pic>
              </a:graphicData>
            </a:graphic>
          </wp:anchor>
        </w:drawing>
      </w:r>
    </w:p>
    <w:p>
      <w:pPr>
        <w:pStyle w:val="SM Heading"/>
        <w:rPr>
          <w:rStyle w:val="None"/>
          <w:rFonts w:ascii="Myriad Pro" w:cs="Myriad Pro" w:hAnsi="Myriad Pro" w:eastAsia="Myriad Pro"/>
        </w:rPr>
      </w:pPr>
      <w:r>
        <w:rPr>
          <w:rStyle w:val="None"/>
          <w:rFonts w:ascii="Myriad Pro" w:cs="Myriad Pro" w:hAnsi="Myriad Pro" w:eastAsia="Myriad Pro"/>
        </w:rPr>
        <mc:AlternateContent>
          <mc:Choice Requires="wps">
            <w:drawing xmlns:a="http://schemas.openxmlformats.org/drawingml/2006/main">
              <wp:anchor distT="0" distB="0" distL="0" distR="0" simplePos="0" relativeHeight="251671552" behindDoc="0" locked="0" layoutInCell="1" allowOverlap="1">
                <wp:simplePos x="0" y="0"/>
                <wp:positionH relativeFrom="column">
                  <wp:posOffset>263525</wp:posOffset>
                </wp:positionH>
                <wp:positionV relativeFrom="line">
                  <wp:posOffset>30479</wp:posOffset>
                </wp:positionV>
                <wp:extent cx="192969" cy="207011"/>
                <wp:effectExtent l="0" t="0" r="0" b="0"/>
                <wp:wrapNone/>
                <wp:docPr id="1073741832" name="officeArt object" descr="Text Frame 2"/>
                <wp:cNvGraphicFramePr/>
                <a:graphic xmlns:a="http://schemas.openxmlformats.org/drawingml/2006/main">
                  <a:graphicData uri="http://schemas.microsoft.com/office/word/2010/wordprocessingShape">
                    <wps:wsp>
                      <wps:cNvSpPr txBox="1"/>
                      <wps:spPr>
                        <a:xfrm>
                          <a:off x="0" y="0"/>
                          <a:ext cx="192969" cy="207011"/>
                        </a:xfrm>
                        <a:prstGeom prst="rect">
                          <a:avLst/>
                        </a:prstGeom>
                        <a:noFill/>
                        <a:ln w="12700" cap="flat">
                          <a:noFill/>
                          <a:miter lim="400000"/>
                        </a:ln>
                        <a:effectLst/>
                      </wps:spPr>
                      <wps:txbx>
                        <w:txbxContent>
                          <w:p>
                            <w:pPr>
                              <w:pStyle w:val="Body"/>
                              <w:jc w:val="center"/>
                            </w:pPr>
                            <w:r>
                              <w:rPr>
                                <w:rStyle w:val="None"/>
                                <w:b w:val="1"/>
                                <w:bCs w:val="1"/>
                                <w:sz w:val="20"/>
                                <w:szCs w:val="20"/>
                                <w:rtl w:val="0"/>
                                <w:lang w:val="en-US"/>
                              </w:rPr>
                              <w:t>b)</w:t>
                            </w:r>
                          </w:p>
                        </w:txbxContent>
                      </wps:txbx>
                      <wps:bodyPr wrap="square" lIns="0" tIns="0" rIns="0" bIns="0" numCol="1" anchor="t">
                        <a:noAutofit/>
                      </wps:bodyPr>
                    </wps:wsp>
                  </a:graphicData>
                </a:graphic>
              </wp:anchor>
            </w:drawing>
          </mc:Choice>
          <mc:Fallback>
            <w:pict>
              <v:shape id="_x0000_s1027" type="#_x0000_t202" style="visibility:visible;position:absolute;margin-left:20.8pt;margin-top:2.4pt;width:15.2pt;height:16.3pt;z-index:251671552;mso-position-horizontal:absolute;mso-position-horizontal-relative:text;mso-position-vertical:absolute;mso-position-vertical-relative:line;mso-wrap-distance-left:0.0pt;mso-wrap-distance-top:0.0pt;mso-wrap-distance-right:0.0pt;mso-wrap-distance-bottom:0.0pt;">
                <v:fill on="f"/>
                <v:stroke on="f" weight="1.0pt" dashstyle="solid" endcap="flat" miterlimit="400.0%" joinstyle="miter" linestyle="single" startarrow="none" startarrowwidth="medium" startarrowlength="medium" endarrow="none" endarrowwidth="medium" endarrowlength="medium"/>
                <v:textbox>
                  <w:txbxContent>
                    <w:p>
                      <w:pPr>
                        <w:pStyle w:val="Body"/>
                        <w:jc w:val="center"/>
                      </w:pPr>
                      <w:r>
                        <w:rPr>
                          <w:rStyle w:val="None"/>
                          <w:b w:val="1"/>
                          <w:bCs w:val="1"/>
                          <w:sz w:val="20"/>
                          <w:szCs w:val="20"/>
                          <w:rtl w:val="0"/>
                          <w:lang w:val="en-US"/>
                        </w:rPr>
                        <w:t>b)</w:t>
                      </w:r>
                    </w:p>
                  </w:txbxContent>
                </v:textbox>
                <w10:wrap type="none" side="bothSides" anchorx="text"/>
              </v:shape>
            </w:pict>
          </mc:Fallback>
        </mc:AlternateContent>
      </w:r>
      <w:r>
        <w:rPr>
          <w:rStyle w:val="None"/>
          <w:rFonts w:ascii="Myriad Pro" w:cs="Myriad Pro" w:hAnsi="Myriad Pro" w:eastAsia="Myriad Pro"/>
        </w:rPr>
        <w:drawing xmlns:a="http://schemas.openxmlformats.org/drawingml/2006/main">
          <wp:anchor distT="0" distB="0" distL="0" distR="0" simplePos="0" relativeHeight="251666432" behindDoc="0" locked="0" layoutInCell="1" allowOverlap="1">
            <wp:simplePos x="0" y="0"/>
            <wp:positionH relativeFrom="column">
              <wp:posOffset>850900</wp:posOffset>
            </wp:positionH>
            <wp:positionV relativeFrom="line">
              <wp:posOffset>-34924</wp:posOffset>
            </wp:positionV>
            <wp:extent cx="4028440" cy="2812415"/>
            <wp:effectExtent l="0" t="0" r="0" b="0"/>
            <wp:wrapTopAndBottom distT="0" distB="0"/>
            <wp:docPr id="1073741833" name="officeArt object" descr="Image"/>
            <wp:cNvGraphicFramePr/>
            <a:graphic xmlns:a="http://schemas.openxmlformats.org/drawingml/2006/main">
              <a:graphicData uri="http://schemas.openxmlformats.org/drawingml/2006/picture">
                <pic:pic xmlns:pic="http://schemas.openxmlformats.org/drawingml/2006/picture">
                  <pic:nvPicPr>
                    <pic:cNvPr id="1073741833" name="Image" descr="Image"/>
                    <pic:cNvPicPr>
                      <a:picLocks noChangeAspect="1"/>
                    </pic:cNvPicPr>
                  </pic:nvPicPr>
                  <pic:blipFill>
                    <a:blip r:embed="rId10">
                      <a:extLst/>
                    </a:blip>
                    <a:srcRect l="0" t="0" r="597" b="0"/>
                    <a:stretch>
                      <a:fillRect/>
                    </a:stretch>
                  </pic:blipFill>
                  <pic:spPr>
                    <a:xfrm>
                      <a:off x="0" y="0"/>
                      <a:ext cx="4028440" cy="2812415"/>
                    </a:xfrm>
                    <a:prstGeom prst="rect">
                      <a:avLst/>
                    </a:prstGeom>
                    <a:ln w="12700" cap="flat">
                      <a:noFill/>
                      <a:miter lim="400000"/>
                    </a:ln>
                    <a:effectLst/>
                  </pic:spPr>
                </pic:pic>
              </a:graphicData>
            </a:graphic>
          </wp:anchor>
        </w:drawing>
      </w:r>
    </w:p>
    <w:p>
      <w:pPr>
        <w:pStyle w:val="SM Heading"/>
        <w:jc w:val="both"/>
        <w:rPr>
          <w:rStyle w:val="None"/>
          <w:sz w:val="20"/>
          <w:szCs w:val="20"/>
          <w:lang w:val="en-US"/>
        </w:rPr>
      </w:pPr>
      <w:r>
        <w:rPr>
          <w:rStyle w:val="None"/>
          <w:sz w:val="20"/>
          <w:szCs w:val="20"/>
          <w:rtl w:val="0"/>
          <w:lang w:val="en-US"/>
        </w:rPr>
        <w:t>Figure S</w:t>
      </w:r>
      <w:r>
        <w:rPr>
          <w:rStyle w:val="None"/>
          <w:sz w:val="20"/>
          <w:szCs w:val="20"/>
          <w:rtl w:val="0"/>
          <w:lang w:val="de-DE"/>
        </w:rPr>
        <w:t>4a-b: S</w:t>
      </w:r>
      <w:r>
        <w:rPr>
          <w:rStyle w:val="None"/>
          <w:sz w:val="20"/>
          <w:szCs w:val="20"/>
          <w:rtl w:val="0"/>
          <w:lang w:val="en-US"/>
        </w:rPr>
        <w:t>outhern Ocean, Kerguelen Plateau, ODP Site 738, hole B, age-depth plot, and alternative age models from the recent literature. Although there have been several studies and revisions of chronostratigraphic information for the older Paleogene part of this site (below ca 40 Ma) the late Eocene interval remains problematic and different interpretations are possible.  Here we show, in addition to that used in our study, those of Huber and Quillevere (2005) and Faul and Delaney (2010). Differences in ages and sedimentation rates are substantial and thus productivity proxies based on accumulation rate are uncertain for the late Eocene interval of this site.</w:t>
      </w:r>
    </w:p>
    <w:p>
      <w:pPr>
        <w:pStyle w:val="SM Heading"/>
        <w:rPr>
          <w:rStyle w:val="None"/>
          <w:sz w:val="20"/>
          <w:szCs w:val="20"/>
          <w:lang w:val="en-US"/>
        </w:rPr>
      </w:pPr>
    </w:p>
    <w:p>
      <w:pPr>
        <w:pStyle w:val="SM Heading"/>
        <w:rPr>
          <w:rStyle w:val="None"/>
          <w:sz w:val="20"/>
          <w:szCs w:val="20"/>
          <w:lang w:val="en-US"/>
        </w:rPr>
      </w:pPr>
    </w:p>
    <w:p>
      <w:pPr>
        <w:pStyle w:val="SM Heading"/>
        <w:rPr>
          <w:rStyle w:val="None"/>
          <w:sz w:val="20"/>
          <w:szCs w:val="20"/>
          <w:lang w:val="en-US"/>
        </w:rPr>
      </w:pPr>
    </w:p>
    <w:p>
      <w:pPr>
        <w:pStyle w:val="SM Heading"/>
        <w:rPr>
          <w:rStyle w:val="None"/>
          <w:sz w:val="20"/>
          <w:szCs w:val="20"/>
          <w:lang w:val="en-US"/>
        </w:rPr>
      </w:pPr>
    </w:p>
    <w:p>
      <w:pPr>
        <w:pStyle w:val="SM Heading"/>
        <w:rPr>
          <w:rStyle w:val="None"/>
          <w:sz w:val="20"/>
          <w:szCs w:val="20"/>
          <w:lang w:val="en-US"/>
        </w:rPr>
      </w:pPr>
    </w:p>
    <w:p>
      <w:pPr>
        <w:pStyle w:val="SM Heading"/>
        <w:rPr>
          <w:rStyle w:val="None"/>
          <w:sz w:val="20"/>
          <w:szCs w:val="20"/>
          <w:lang w:val="en-US"/>
        </w:rPr>
      </w:pPr>
    </w:p>
    <w:p>
      <w:pPr>
        <w:pStyle w:val="SM Heading"/>
        <w:rPr>
          <w:rStyle w:val="None"/>
          <w:sz w:val="20"/>
          <w:szCs w:val="20"/>
          <w:lang w:val="en-US"/>
        </w:rPr>
      </w:pPr>
    </w:p>
    <w:p>
      <w:pPr>
        <w:pStyle w:val="SM Heading"/>
        <w:rPr>
          <w:rStyle w:val="None"/>
          <w:sz w:val="20"/>
          <w:szCs w:val="20"/>
          <w:lang w:val="en-US"/>
        </w:rPr>
      </w:pPr>
    </w:p>
    <w:p>
      <w:pPr>
        <w:pStyle w:val="SM Heading"/>
        <w:rPr>
          <w:rStyle w:val="None"/>
          <w:sz w:val="20"/>
          <w:szCs w:val="20"/>
          <w:lang w:val="en-US"/>
        </w:rPr>
      </w:pPr>
    </w:p>
    <w:p>
      <w:pPr>
        <w:pStyle w:val="SM Heading"/>
        <w:rPr>
          <w:rStyle w:val="None"/>
          <w:rFonts w:ascii="Myriad Pro" w:cs="Myriad Pro" w:hAnsi="Myriad Pro" w:eastAsia="Myriad Pro"/>
        </w:rPr>
      </w:pPr>
      <w:r>
        <w:rPr>
          <w:rStyle w:val="None"/>
          <w:rFonts w:ascii="Myriad Pro" w:cs="Myriad Pro" w:hAnsi="Myriad Pro" w:eastAsia="Myriad Pro"/>
        </w:rPr>
        <mc:AlternateContent>
          <mc:Choice Requires="wps">
            <w:drawing xmlns:a="http://schemas.openxmlformats.org/drawingml/2006/main">
              <wp:anchor distT="0" distB="0" distL="0" distR="0" simplePos="0" relativeHeight="251672576" behindDoc="0" locked="0" layoutInCell="1" allowOverlap="1">
                <wp:simplePos x="0" y="0"/>
                <wp:positionH relativeFrom="margin">
                  <wp:posOffset>-27940</wp:posOffset>
                </wp:positionH>
                <wp:positionV relativeFrom="line">
                  <wp:posOffset>531879</wp:posOffset>
                </wp:positionV>
                <wp:extent cx="228600" cy="257041"/>
                <wp:effectExtent l="0" t="0" r="0" b="0"/>
                <wp:wrapNone/>
                <wp:docPr id="1073741834" name="officeArt object" descr="Text Frame 3"/>
                <wp:cNvGraphicFramePr/>
                <a:graphic xmlns:a="http://schemas.openxmlformats.org/drawingml/2006/main">
                  <a:graphicData uri="http://schemas.microsoft.com/office/word/2010/wordprocessingShape">
                    <wps:wsp>
                      <wps:cNvSpPr txBox="1"/>
                      <wps:spPr>
                        <a:xfrm>
                          <a:off x="0" y="0"/>
                          <a:ext cx="228600" cy="257041"/>
                        </a:xfrm>
                        <a:prstGeom prst="rect">
                          <a:avLst/>
                        </a:prstGeom>
                        <a:noFill/>
                        <a:ln w="12700" cap="flat">
                          <a:noFill/>
                          <a:miter lim="400000"/>
                        </a:ln>
                        <a:effectLst/>
                      </wps:spPr>
                      <wps:txbx>
                        <w:txbxContent>
                          <w:p>
                            <w:pPr>
                              <w:pStyle w:val="Body"/>
                              <w:jc w:val="center"/>
                            </w:pPr>
                            <w:r>
                              <w:rPr>
                                <w:rStyle w:val="None"/>
                                <w:b w:val="1"/>
                                <w:bCs w:val="1"/>
                                <w:sz w:val="20"/>
                                <w:szCs w:val="20"/>
                                <w:rtl w:val="0"/>
                                <w:lang w:val="en-US"/>
                              </w:rPr>
                              <w:t>a)</w:t>
                            </w:r>
                          </w:p>
                        </w:txbxContent>
                      </wps:txbx>
                      <wps:bodyPr wrap="square" lIns="0" tIns="0" rIns="0" bIns="0" numCol="1" anchor="t">
                        <a:noAutofit/>
                      </wps:bodyPr>
                    </wps:wsp>
                  </a:graphicData>
                </a:graphic>
              </wp:anchor>
            </w:drawing>
          </mc:Choice>
          <mc:Fallback>
            <w:pict>
              <v:shape id="_x0000_s1028" type="#_x0000_t202" style="visibility:visible;position:absolute;margin-left:-2.2pt;margin-top:41.9pt;width:18.0pt;height:20.2pt;z-index:251672576;mso-position-horizontal:absolute;mso-position-horizontal-relative:margin;mso-position-vertical:absolute;mso-position-vertical-relative:line;mso-wrap-distance-left:0.0pt;mso-wrap-distance-top:0.0pt;mso-wrap-distance-right:0.0pt;mso-wrap-distance-bottom:0.0pt;">
                <v:fill on="f"/>
                <v:stroke on="f" weight="1.0pt" dashstyle="solid" endcap="flat" miterlimit="400.0%" joinstyle="miter" linestyle="single" startarrow="none" startarrowwidth="medium" startarrowlength="medium" endarrow="none" endarrowwidth="medium" endarrowlength="medium"/>
                <v:textbox>
                  <w:txbxContent>
                    <w:p>
                      <w:pPr>
                        <w:pStyle w:val="Body"/>
                        <w:jc w:val="center"/>
                      </w:pPr>
                      <w:r>
                        <w:rPr>
                          <w:rStyle w:val="None"/>
                          <w:b w:val="1"/>
                          <w:bCs w:val="1"/>
                          <w:sz w:val="20"/>
                          <w:szCs w:val="20"/>
                          <w:rtl w:val="0"/>
                          <w:lang w:val="en-US"/>
                        </w:rPr>
                        <w:t>a)</w:t>
                      </w:r>
                    </w:p>
                  </w:txbxContent>
                </v:textbox>
                <w10:wrap type="none" side="bothSides" anchorx="margin"/>
              </v:shape>
            </w:pict>
          </mc:Fallback>
        </mc:AlternateContent>
      </w:r>
      <w:r>
        <w:rPr>
          <w:rStyle w:val="None"/>
          <w:rFonts w:ascii="Myriad Pro" w:cs="Myriad Pro" w:hAnsi="Myriad Pro" w:eastAsia="Myriad Pro"/>
        </w:rPr>
        <mc:AlternateContent>
          <mc:Choice Requires="wps">
            <w:drawing xmlns:a="http://schemas.openxmlformats.org/drawingml/2006/main">
              <wp:anchor distT="0" distB="0" distL="0" distR="0" simplePos="0" relativeHeight="251673600" behindDoc="0" locked="0" layoutInCell="1" allowOverlap="1">
                <wp:simplePos x="0" y="0"/>
                <wp:positionH relativeFrom="margin">
                  <wp:posOffset>2882899</wp:posOffset>
                </wp:positionH>
                <wp:positionV relativeFrom="line">
                  <wp:posOffset>531879</wp:posOffset>
                </wp:positionV>
                <wp:extent cx="228600" cy="257041"/>
                <wp:effectExtent l="0" t="0" r="0" b="0"/>
                <wp:wrapNone/>
                <wp:docPr id="1073741835" name="officeArt object" descr="Text Frame 4"/>
                <wp:cNvGraphicFramePr/>
                <a:graphic xmlns:a="http://schemas.openxmlformats.org/drawingml/2006/main">
                  <a:graphicData uri="http://schemas.microsoft.com/office/word/2010/wordprocessingShape">
                    <wps:wsp>
                      <wps:cNvSpPr txBox="1"/>
                      <wps:spPr>
                        <a:xfrm>
                          <a:off x="0" y="0"/>
                          <a:ext cx="228600" cy="257041"/>
                        </a:xfrm>
                        <a:prstGeom prst="rect">
                          <a:avLst/>
                        </a:prstGeom>
                        <a:noFill/>
                        <a:ln w="12700" cap="flat">
                          <a:noFill/>
                          <a:miter lim="400000"/>
                        </a:ln>
                        <a:effectLst/>
                      </wps:spPr>
                      <wps:txbx>
                        <w:txbxContent>
                          <w:p>
                            <w:pPr>
                              <w:pStyle w:val="Body"/>
                              <w:jc w:val="center"/>
                            </w:pPr>
                            <w:r>
                              <w:rPr>
                                <w:rStyle w:val="None"/>
                                <w:b w:val="1"/>
                                <w:bCs w:val="1"/>
                                <w:sz w:val="20"/>
                                <w:szCs w:val="20"/>
                                <w:rtl w:val="0"/>
                                <w:lang w:val="en-US"/>
                              </w:rPr>
                              <w:t>b)</w:t>
                            </w:r>
                          </w:p>
                        </w:txbxContent>
                      </wps:txbx>
                      <wps:bodyPr wrap="square" lIns="0" tIns="0" rIns="0" bIns="0" numCol="1" anchor="t">
                        <a:noAutofit/>
                      </wps:bodyPr>
                    </wps:wsp>
                  </a:graphicData>
                </a:graphic>
              </wp:anchor>
            </w:drawing>
          </mc:Choice>
          <mc:Fallback>
            <w:pict>
              <v:shape id="_x0000_s1029" type="#_x0000_t202" style="visibility:visible;position:absolute;margin-left:227.0pt;margin-top:41.9pt;width:18.0pt;height:20.2pt;z-index:251673600;mso-position-horizontal:absolute;mso-position-horizontal-relative:margin;mso-position-vertical:absolute;mso-position-vertical-relative:line;mso-wrap-distance-left:0.0pt;mso-wrap-distance-top:0.0pt;mso-wrap-distance-right:0.0pt;mso-wrap-distance-bottom:0.0pt;">
                <v:fill on="f"/>
                <v:stroke on="f" weight="1.0pt" dashstyle="solid" endcap="flat" miterlimit="400.0%" joinstyle="miter" linestyle="single" startarrow="none" startarrowwidth="medium" startarrowlength="medium" endarrow="none" endarrowwidth="medium" endarrowlength="medium"/>
                <v:textbox>
                  <w:txbxContent>
                    <w:p>
                      <w:pPr>
                        <w:pStyle w:val="Body"/>
                        <w:jc w:val="center"/>
                      </w:pPr>
                      <w:r>
                        <w:rPr>
                          <w:rStyle w:val="None"/>
                          <w:b w:val="1"/>
                          <w:bCs w:val="1"/>
                          <w:sz w:val="20"/>
                          <w:szCs w:val="20"/>
                          <w:rtl w:val="0"/>
                          <w:lang w:val="en-US"/>
                        </w:rPr>
                        <w:t>b)</w:t>
                      </w:r>
                    </w:p>
                  </w:txbxContent>
                </v:textbox>
                <w10:wrap type="none" side="bothSides" anchorx="margin"/>
              </v:shape>
            </w:pict>
          </mc:Fallback>
        </mc:AlternateContent>
      </w:r>
    </w:p>
    <w:p>
      <w:pPr>
        <w:pStyle w:val="SM Heading"/>
        <w:rPr>
          <w:rStyle w:val="None"/>
          <w:rFonts w:ascii="Myriad Pro" w:cs="Myriad Pro" w:hAnsi="Myriad Pro" w:eastAsia="Myriad Pro"/>
        </w:rPr>
      </w:pPr>
      <w:r>
        <w:rPr>
          <w:rStyle w:val="None"/>
        </w:rPr>
        <w:drawing xmlns:a="http://schemas.openxmlformats.org/drawingml/2006/main">
          <wp:anchor distT="0" distB="0" distL="0" distR="0" simplePos="0" relativeHeight="251660288" behindDoc="0" locked="0" layoutInCell="1" allowOverlap="1">
            <wp:simplePos x="0" y="0"/>
            <wp:positionH relativeFrom="page">
              <wp:posOffset>3978274</wp:posOffset>
            </wp:positionH>
            <wp:positionV relativeFrom="line">
              <wp:posOffset>330199</wp:posOffset>
            </wp:positionV>
            <wp:extent cx="2743201" cy="2480311"/>
            <wp:effectExtent l="0" t="0" r="0" b="0"/>
            <wp:wrapTopAndBottom distT="0" distB="0"/>
            <wp:docPr id="1073741836" name="officeArt object" descr="Image"/>
            <wp:cNvGraphicFramePr/>
            <a:graphic xmlns:a="http://schemas.openxmlformats.org/drawingml/2006/main">
              <a:graphicData uri="http://schemas.openxmlformats.org/drawingml/2006/picture">
                <pic:pic xmlns:pic="http://schemas.openxmlformats.org/drawingml/2006/picture">
                  <pic:nvPicPr>
                    <pic:cNvPr id="1073741836" name="Image" descr="Image"/>
                    <pic:cNvPicPr>
                      <a:picLocks noChangeAspect="1"/>
                    </pic:cNvPicPr>
                  </pic:nvPicPr>
                  <pic:blipFill>
                    <a:blip r:embed="rId11">
                      <a:extLst/>
                    </a:blip>
                    <a:srcRect l="0" t="11643" r="8295" b="5385"/>
                    <a:stretch>
                      <a:fillRect/>
                    </a:stretch>
                  </pic:blipFill>
                  <pic:spPr>
                    <a:xfrm>
                      <a:off x="0" y="0"/>
                      <a:ext cx="2743201" cy="2480311"/>
                    </a:xfrm>
                    <a:prstGeom prst="rect">
                      <a:avLst/>
                    </a:prstGeom>
                    <a:ln w="12700" cap="flat">
                      <a:noFill/>
                      <a:miter lim="400000"/>
                    </a:ln>
                    <a:effectLst/>
                  </pic:spPr>
                </pic:pic>
              </a:graphicData>
            </a:graphic>
          </wp:anchor>
        </w:drawing>
      </w:r>
      <w:r>
        <w:rPr>
          <w:rStyle w:val="None"/>
        </w:rPr>
        <w:drawing xmlns:a="http://schemas.openxmlformats.org/drawingml/2006/main">
          <wp:anchor distT="0" distB="0" distL="0" distR="0" simplePos="0" relativeHeight="251668480" behindDoc="0" locked="0" layoutInCell="1" allowOverlap="1">
            <wp:simplePos x="0" y="0"/>
            <wp:positionH relativeFrom="page">
              <wp:posOffset>1343659</wp:posOffset>
            </wp:positionH>
            <wp:positionV relativeFrom="line">
              <wp:posOffset>330200</wp:posOffset>
            </wp:positionV>
            <wp:extent cx="2634615" cy="2467610"/>
            <wp:effectExtent l="0" t="0" r="0" b="0"/>
            <wp:wrapTopAndBottom distT="0" distB="0"/>
            <wp:docPr id="1073741837" name="officeArt object" descr="Image"/>
            <wp:cNvGraphicFramePr/>
            <a:graphic xmlns:a="http://schemas.openxmlformats.org/drawingml/2006/main">
              <a:graphicData uri="http://schemas.openxmlformats.org/drawingml/2006/picture">
                <pic:pic xmlns:pic="http://schemas.openxmlformats.org/drawingml/2006/picture">
                  <pic:nvPicPr>
                    <pic:cNvPr id="1073741837" name="Image" descr="Image"/>
                    <pic:cNvPicPr>
                      <a:picLocks noChangeAspect="1"/>
                    </pic:cNvPicPr>
                  </pic:nvPicPr>
                  <pic:blipFill>
                    <a:blip r:embed="rId12">
                      <a:extLst/>
                    </a:blip>
                    <a:srcRect l="0" t="10869" r="8824" b="3683"/>
                    <a:stretch>
                      <a:fillRect/>
                    </a:stretch>
                  </pic:blipFill>
                  <pic:spPr>
                    <a:xfrm>
                      <a:off x="0" y="0"/>
                      <a:ext cx="2634615" cy="2467610"/>
                    </a:xfrm>
                    <a:prstGeom prst="rect">
                      <a:avLst/>
                    </a:prstGeom>
                    <a:ln w="12700" cap="flat">
                      <a:noFill/>
                      <a:miter lim="400000"/>
                    </a:ln>
                    <a:effectLst/>
                  </pic:spPr>
                </pic:pic>
              </a:graphicData>
            </a:graphic>
          </wp:anchor>
        </w:drawing>
      </w:r>
    </w:p>
    <w:p>
      <w:pPr>
        <w:pStyle w:val="SM Heading"/>
        <w:rPr>
          <w:rStyle w:val="None"/>
          <w:rFonts w:ascii="Myriad Pro" w:cs="Myriad Pro" w:hAnsi="Myriad Pro" w:eastAsia="Myriad Pro"/>
        </w:rPr>
      </w:pPr>
      <w:r>
        <w:rPr>
          <w:rStyle w:val="None"/>
        </w:rPr>
        <mc:AlternateContent>
          <mc:Choice Requires="wps">
            <w:drawing xmlns:a="http://schemas.openxmlformats.org/drawingml/2006/main">
              <wp:anchor distT="0" distB="0" distL="0" distR="0" simplePos="0" relativeHeight="251674624" behindDoc="0" locked="0" layoutInCell="1" allowOverlap="1">
                <wp:simplePos x="0" y="0"/>
                <wp:positionH relativeFrom="column">
                  <wp:posOffset>-71755</wp:posOffset>
                </wp:positionH>
                <wp:positionV relativeFrom="line">
                  <wp:posOffset>36194</wp:posOffset>
                </wp:positionV>
                <wp:extent cx="228600" cy="257041"/>
                <wp:effectExtent l="0" t="0" r="0" b="0"/>
                <wp:wrapNone/>
                <wp:docPr id="1073741838" name="officeArt object" descr="Text Frame 5"/>
                <wp:cNvGraphicFramePr/>
                <a:graphic xmlns:a="http://schemas.openxmlformats.org/drawingml/2006/main">
                  <a:graphicData uri="http://schemas.microsoft.com/office/word/2010/wordprocessingShape">
                    <wps:wsp>
                      <wps:cNvSpPr txBox="1"/>
                      <wps:spPr>
                        <a:xfrm>
                          <a:off x="0" y="0"/>
                          <a:ext cx="228600" cy="257041"/>
                        </a:xfrm>
                        <a:prstGeom prst="rect">
                          <a:avLst/>
                        </a:prstGeom>
                        <a:noFill/>
                        <a:ln w="12700" cap="flat">
                          <a:noFill/>
                          <a:miter lim="400000"/>
                        </a:ln>
                        <a:effectLst/>
                      </wps:spPr>
                      <wps:txbx>
                        <w:txbxContent>
                          <w:p>
                            <w:pPr>
                              <w:pStyle w:val="Body"/>
                              <w:jc w:val="center"/>
                            </w:pPr>
                            <w:r>
                              <w:rPr>
                                <w:rStyle w:val="None"/>
                                <w:b w:val="1"/>
                                <w:bCs w:val="1"/>
                                <w:sz w:val="20"/>
                                <w:szCs w:val="20"/>
                                <w:rtl w:val="0"/>
                                <w:lang w:val="en-US"/>
                              </w:rPr>
                              <w:t>c)</w:t>
                            </w:r>
                          </w:p>
                        </w:txbxContent>
                      </wps:txbx>
                      <wps:bodyPr wrap="square" lIns="0" tIns="0" rIns="0" bIns="0" numCol="1" anchor="t">
                        <a:noAutofit/>
                      </wps:bodyPr>
                    </wps:wsp>
                  </a:graphicData>
                </a:graphic>
              </wp:anchor>
            </w:drawing>
          </mc:Choice>
          <mc:Fallback>
            <w:pict>
              <v:shape id="_x0000_s1030" type="#_x0000_t202" style="visibility:visible;position:absolute;margin-left:-5.7pt;margin-top:2.8pt;width:18.0pt;height:20.2pt;z-index:251674624;mso-position-horizontal:absolute;mso-position-horizontal-relative:text;mso-position-vertical:absolute;mso-position-vertical-relative:line;mso-wrap-distance-left:0.0pt;mso-wrap-distance-top:0.0pt;mso-wrap-distance-right:0.0pt;mso-wrap-distance-bottom:0.0pt;">
                <v:fill on="f"/>
                <v:stroke on="f" weight="1.0pt" dashstyle="solid" endcap="flat" miterlimit="400.0%" joinstyle="miter" linestyle="single" startarrow="none" startarrowwidth="medium" startarrowlength="medium" endarrow="none" endarrowwidth="medium" endarrowlength="medium"/>
                <v:textbox>
                  <w:txbxContent>
                    <w:p>
                      <w:pPr>
                        <w:pStyle w:val="Body"/>
                        <w:jc w:val="center"/>
                      </w:pPr>
                      <w:r>
                        <w:rPr>
                          <w:rStyle w:val="None"/>
                          <w:b w:val="1"/>
                          <w:bCs w:val="1"/>
                          <w:sz w:val="20"/>
                          <w:szCs w:val="20"/>
                          <w:rtl w:val="0"/>
                          <w:lang w:val="en-US"/>
                        </w:rPr>
                        <w:t>c)</w:t>
                      </w:r>
                    </w:p>
                  </w:txbxContent>
                </v:textbox>
                <w10:wrap type="none" side="bothSides" anchorx="text"/>
              </v:shape>
            </w:pict>
          </mc:Fallback>
        </mc:AlternateContent>
      </w:r>
      <w:r>
        <w:rPr>
          <w:rStyle w:val="None"/>
        </w:rPr>
        <w:drawing xmlns:a="http://schemas.openxmlformats.org/drawingml/2006/main">
          <wp:anchor distT="0" distB="0" distL="0" distR="0" simplePos="0" relativeHeight="251661312" behindDoc="0" locked="0" layoutInCell="1" allowOverlap="1">
            <wp:simplePos x="0" y="0"/>
            <wp:positionH relativeFrom="column">
              <wp:posOffset>207010</wp:posOffset>
            </wp:positionH>
            <wp:positionV relativeFrom="line">
              <wp:posOffset>-4444</wp:posOffset>
            </wp:positionV>
            <wp:extent cx="2974340" cy="2698115"/>
            <wp:effectExtent l="0" t="0" r="0" b="0"/>
            <wp:wrapTopAndBottom distT="0" distB="0"/>
            <wp:docPr id="1073741839" name="officeArt object" descr="Image"/>
            <wp:cNvGraphicFramePr/>
            <a:graphic xmlns:a="http://schemas.openxmlformats.org/drawingml/2006/main">
              <a:graphicData uri="http://schemas.openxmlformats.org/drawingml/2006/picture">
                <pic:pic xmlns:pic="http://schemas.openxmlformats.org/drawingml/2006/picture">
                  <pic:nvPicPr>
                    <pic:cNvPr id="1073741839" name="Image" descr="Image"/>
                    <pic:cNvPicPr>
                      <a:picLocks noChangeAspect="1"/>
                    </pic:cNvPicPr>
                  </pic:nvPicPr>
                  <pic:blipFill>
                    <a:blip r:embed="rId13">
                      <a:extLst/>
                    </a:blip>
                    <a:srcRect l="0" t="7898" r="5031" b="0"/>
                    <a:stretch>
                      <a:fillRect/>
                    </a:stretch>
                  </pic:blipFill>
                  <pic:spPr>
                    <a:xfrm>
                      <a:off x="0" y="0"/>
                      <a:ext cx="2974340" cy="2698115"/>
                    </a:xfrm>
                    <a:prstGeom prst="rect">
                      <a:avLst/>
                    </a:prstGeom>
                    <a:ln w="12700" cap="flat">
                      <a:noFill/>
                      <a:miter lim="400000"/>
                    </a:ln>
                    <a:effectLst/>
                  </pic:spPr>
                </pic:pic>
              </a:graphicData>
            </a:graphic>
          </wp:anchor>
        </w:drawing>
      </w:r>
    </w:p>
    <w:p>
      <w:pPr>
        <w:pStyle w:val="SM Heading"/>
        <w:rPr>
          <w:rStyle w:val="None"/>
          <w:sz w:val="20"/>
          <w:szCs w:val="20"/>
        </w:rPr>
      </w:pPr>
      <w:r>
        <w:rPr>
          <w:rStyle w:val="None"/>
          <w:sz w:val="20"/>
          <w:szCs w:val="20"/>
          <w:rtl w:val="0"/>
          <w:lang w:val="en-US"/>
        </w:rPr>
        <w:t>Figure S</w:t>
      </w:r>
      <w:r>
        <w:rPr>
          <w:rStyle w:val="None"/>
          <w:sz w:val="20"/>
          <w:szCs w:val="20"/>
          <w:rtl w:val="0"/>
          <w:lang w:val="de-DE"/>
        </w:rPr>
        <w:t>5:</w:t>
      </w:r>
      <w:r>
        <w:rPr>
          <w:rStyle w:val="None"/>
          <w:sz w:val="20"/>
          <w:szCs w:val="20"/>
          <w:rtl w:val="0"/>
          <w:lang w:val="en-US"/>
        </w:rPr>
        <w:t xml:space="preserve"> Biogenic barium accumulation rates, Bio Ba AR and sedimentation rate ODP Site 1090 (a), ODP Site 689 (b), ODP Site 748 (c).</w:t>
      </w:r>
    </w:p>
    <w:p>
      <w:pPr>
        <w:pStyle w:val="SM Heading"/>
        <w:rPr>
          <w:rStyle w:val="None"/>
          <w:sz w:val="20"/>
          <w:szCs w:val="20"/>
        </w:rPr>
      </w:pPr>
      <w:r>
        <w:rPr>
          <w:rStyle w:val="None"/>
          <w:sz w:val="20"/>
          <w:szCs w:val="20"/>
        </w:rPr>
        <w:drawing xmlns:a="http://schemas.openxmlformats.org/drawingml/2006/main">
          <wp:anchor distT="0" distB="0" distL="0" distR="0" simplePos="0" relativeHeight="251662336" behindDoc="0" locked="0" layoutInCell="1" allowOverlap="1">
            <wp:simplePos x="0" y="0"/>
            <wp:positionH relativeFrom="page">
              <wp:posOffset>1588135</wp:posOffset>
            </wp:positionH>
            <wp:positionV relativeFrom="line">
              <wp:posOffset>457200</wp:posOffset>
            </wp:positionV>
            <wp:extent cx="4643755" cy="3039746"/>
            <wp:effectExtent l="0" t="0" r="0" b="0"/>
            <wp:wrapTopAndBottom distT="0" distB="0"/>
            <wp:docPr id="1073741840" name="officeArt object" descr="Image"/>
            <wp:cNvGraphicFramePr/>
            <a:graphic xmlns:a="http://schemas.openxmlformats.org/drawingml/2006/main">
              <a:graphicData uri="http://schemas.openxmlformats.org/drawingml/2006/picture">
                <pic:pic xmlns:pic="http://schemas.openxmlformats.org/drawingml/2006/picture">
                  <pic:nvPicPr>
                    <pic:cNvPr id="1073741840" name="Image" descr="Image"/>
                    <pic:cNvPicPr>
                      <a:picLocks noChangeAspect="1"/>
                    </pic:cNvPicPr>
                  </pic:nvPicPr>
                  <pic:blipFill>
                    <a:blip r:embed="rId14">
                      <a:extLst/>
                    </a:blip>
                    <a:stretch>
                      <a:fillRect/>
                    </a:stretch>
                  </pic:blipFill>
                  <pic:spPr>
                    <a:xfrm>
                      <a:off x="0" y="0"/>
                      <a:ext cx="4643755" cy="3039746"/>
                    </a:xfrm>
                    <a:prstGeom prst="rect">
                      <a:avLst/>
                    </a:prstGeom>
                    <a:ln w="12700" cap="flat">
                      <a:noFill/>
                      <a:miter lim="400000"/>
                    </a:ln>
                    <a:effectLst/>
                  </pic:spPr>
                </pic:pic>
              </a:graphicData>
            </a:graphic>
          </wp:anchor>
        </w:drawing>
      </w:r>
    </w:p>
    <w:p>
      <w:pPr>
        <w:pStyle w:val="SM Heading"/>
        <w:jc w:val="center"/>
        <w:rPr>
          <w:rStyle w:val="None"/>
          <w:sz w:val="20"/>
          <w:szCs w:val="20"/>
        </w:rPr>
      </w:pPr>
    </w:p>
    <w:p>
      <w:pPr>
        <w:pStyle w:val="SM Heading"/>
        <w:jc w:val="center"/>
        <w:rPr>
          <w:rStyle w:val="None"/>
          <w:sz w:val="20"/>
          <w:szCs w:val="20"/>
        </w:rPr>
      </w:pPr>
    </w:p>
    <w:p>
      <w:pPr>
        <w:pStyle w:val="SM Heading"/>
        <w:jc w:val="center"/>
        <w:rPr>
          <w:rStyle w:val="None"/>
          <w:sz w:val="20"/>
          <w:szCs w:val="20"/>
        </w:rPr>
      </w:pPr>
    </w:p>
    <w:p>
      <w:pPr>
        <w:pStyle w:val="SM Heading"/>
        <w:jc w:val="center"/>
        <w:rPr>
          <w:rStyle w:val="None"/>
          <w:sz w:val="20"/>
          <w:szCs w:val="20"/>
        </w:rPr>
      </w:pPr>
    </w:p>
    <w:p>
      <w:pPr>
        <w:pStyle w:val="SM Heading"/>
        <w:jc w:val="center"/>
        <w:rPr>
          <w:rStyle w:val="None"/>
          <w:sz w:val="20"/>
          <w:szCs w:val="20"/>
        </w:rPr>
      </w:pPr>
    </w:p>
    <w:p>
      <w:pPr>
        <w:pStyle w:val="SM Heading"/>
        <w:jc w:val="center"/>
        <w:rPr>
          <w:rStyle w:val="None"/>
        </w:rPr>
      </w:pPr>
    </w:p>
    <w:p>
      <w:pPr>
        <w:pStyle w:val="SM Heading"/>
        <w:jc w:val="center"/>
        <w:rPr>
          <w:rStyle w:val="None"/>
          <w:sz w:val="20"/>
          <w:szCs w:val="20"/>
        </w:rPr>
      </w:pPr>
      <w:r>
        <w:rPr>
          <w:rStyle w:val="None"/>
          <w:rtl w:val="0"/>
          <w:lang w:val="en-US"/>
        </w:rPr>
        <w:t>Figure S</w:t>
      </w:r>
      <w:r>
        <w:rPr>
          <w:rStyle w:val="None"/>
          <w:rtl w:val="0"/>
          <w:lang w:val="de-DE"/>
        </w:rPr>
        <w:t>6:</w:t>
      </w:r>
      <w:r>
        <w:rPr>
          <w:rStyle w:val="None"/>
          <w:rtl w:val="0"/>
          <w:lang w:val="en-US"/>
        </w:rPr>
        <w:t xml:space="preserve"> Polarised Microscope image from fine fraction sediments (&lt;45</w:t>
      </w:r>
      <w:r>
        <w:rPr>
          <w:rStyle w:val="None"/>
          <w:rtl w:val="0"/>
          <w:lang w:val="en-US"/>
        </w:rPr>
        <w:t>µ</w:t>
      </w:r>
      <w:r>
        <w:rPr>
          <w:rStyle w:val="None"/>
          <w:rtl w:val="0"/>
          <w:lang w:val="en-US"/>
        </w:rPr>
        <w:t>m) - coccoliths</w:t>
      </w:r>
      <w:r>
        <w:rPr>
          <w:rStyle w:val="None"/>
          <w:rtl w:val="0"/>
          <w:lang w:val="de-DE"/>
        </w:rPr>
        <w:t>.</w:t>
      </w:r>
    </w:p>
    <w:p>
      <w:pPr>
        <w:pStyle w:val="SM Heading"/>
        <w:rPr>
          <w:rStyle w:val="None"/>
          <w:sz w:val="20"/>
          <w:szCs w:val="20"/>
        </w:rPr>
      </w:pPr>
    </w:p>
    <w:p>
      <w:pPr>
        <w:pStyle w:val="SM Heading"/>
      </w:pPr>
    </w:p>
    <w:p>
      <w:pPr>
        <w:pStyle w:val="SM Heading"/>
      </w:pPr>
    </w:p>
    <w:p>
      <w:pPr>
        <w:pStyle w:val="SM Heading"/>
      </w:pPr>
    </w:p>
    <w:p>
      <w:pPr>
        <w:pStyle w:val="SM Heading"/>
      </w:pPr>
    </w:p>
    <w:p>
      <w:pPr>
        <w:pStyle w:val="SM Heading"/>
      </w:pPr>
    </w:p>
    <w:p>
      <w:pPr>
        <w:pStyle w:val="SM Heading"/>
        <w:jc w:val="both"/>
        <w:rPr>
          <w:rFonts w:ascii="Myriad Pro" w:cs="Myriad Pro" w:hAnsi="Myriad Pro" w:eastAsia="Myriad Pro"/>
        </w:rPr>
      </w:pPr>
    </w:p>
    <w:p>
      <w:pPr>
        <w:pStyle w:val="SM Heading"/>
        <w:jc w:val="both"/>
        <w:rPr>
          <w:rFonts w:ascii="Myriad Pro" w:cs="Myriad Pro" w:hAnsi="Myriad Pro" w:eastAsia="Myriad Pro"/>
        </w:rPr>
      </w:pPr>
    </w:p>
    <w:p>
      <w:pPr>
        <w:pStyle w:val="SM Heading"/>
        <w:jc w:val="both"/>
        <w:rPr>
          <w:rFonts w:ascii="Myriad Pro" w:cs="Myriad Pro" w:hAnsi="Myriad Pro" w:eastAsia="Myriad Pro"/>
        </w:rPr>
      </w:pPr>
    </w:p>
    <w:p>
      <w:pPr>
        <w:pStyle w:val="SM Heading"/>
        <w:jc w:val="both"/>
        <w:rPr>
          <w:rFonts w:ascii="Myriad Pro" w:cs="Myriad Pro" w:hAnsi="Myriad Pro" w:eastAsia="Myriad Pro"/>
        </w:rPr>
      </w:pPr>
    </w:p>
    <w:p>
      <w:pPr>
        <w:pStyle w:val="SM Heading"/>
        <w:jc w:val="both"/>
        <w:rPr>
          <w:rFonts w:ascii="Myriad Pro" w:cs="Myriad Pro" w:hAnsi="Myriad Pro" w:eastAsia="Myriad Pro"/>
        </w:rPr>
      </w:pPr>
    </w:p>
    <w:p>
      <w:pPr>
        <w:pStyle w:val="SM Heading"/>
        <w:jc w:val="both"/>
        <w:rPr>
          <w:rFonts w:ascii="Myriad Pro" w:cs="Myriad Pro" w:hAnsi="Myriad Pro" w:eastAsia="Myriad Pro"/>
        </w:rPr>
      </w:pPr>
    </w:p>
    <w:p>
      <w:pPr>
        <w:pStyle w:val="SM Heading"/>
        <w:jc w:val="both"/>
        <w:rPr>
          <w:rFonts w:ascii="Myriad Pro" w:cs="Myriad Pro" w:hAnsi="Myriad Pro" w:eastAsia="Myriad Pro"/>
        </w:rPr>
      </w:pPr>
    </w:p>
    <w:p>
      <w:pPr>
        <w:pStyle w:val="SM Heading"/>
        <w:jc w:val="both"/>
        <w:rPr>
          <w:rStyle w:val="None"/>
          <w:rFonts w:ascii="Myriad Pro" w:cs="Myriad Pro" w:hAnsi="Myriad Pro" w:eastAsia="Myriad Pro"/>
        </w:rPr>
      </w:pPr>
    </w:p>
    <w:p>
      <w:pPr>
        <w:pStyle w:val="SM Heading"/>
        <w:jc w:val="both"/>
        <w:rPr>
          <w:sz w:val="22"/>
          <w:szCs w:val="22"/>
        </w:rPr>
      </w:pPr>
      <w:r>
        <w:rPr>
          <w:rStyle w:val="None"/>
          <w:sz w:val="22"/>
          <w:szCs w:val="22"/>
          <w:rtl w:val="0"/>
          <w:lang w:val="de-DE"/>
        </w:rPr>
        <w:t xml:space="preserve">Figure S7: </w:t>
      </w:r>
      <w:r>
        <w:rPr>
          <w:rStyle w:val="None"/>
          <w:sz w:val="22"/>
          <w:szCs w:val="22"/>
          <w:rtl w:val="0"/>
          <w:lang w:val="en-US"/>
        </w:rPr>
        <w:t>Compilation of paleo atmospheric pCO2 reconstructions. a) data from marine and terrestrial archives</w:t>
      </w:r>
      <w:r>
        <w:rPr>
          <w:rStyle w:val="None"/>
          <w:sz w:val="22"/>
          <w:szCs w:val="22"/>
          <w:rtl w:val="0"/>
          <w:lang w:val="de-DE"/>
        </w:rPr>
        <w:t>.</w:t>
      </w:r>
      <w:r>
        <w:rPr>
          <w:rStyle w:val="None"/>
          <w:sz w:val="22"/>
          <w:szCs w:val="22"/>
          <w:rtl w:val="0"/>
          <w:lang w:val="en-US"/>
        </w:rPr>
        <w:t xml:space="preserve">b) Lowess fitted smoothed curves to various compilations of proxy pCO2 data: Black - all proxy data, including also Boron, paleosol and stomata estimates. Blue - all data from a single proxy (alkenones). Red - Single site alkenone proxy data from Zhang, with single outlier (&gt;&gt; 2,000 ppm) removed - same time series as in main text Figure 4. </w:t>
      </w:r>
    </w:p>
    <w:p>
      <w:pPr>
        <w:pStyle w:val="SM Heading"/>
        <w:jc w:val="both"/>
        <w:rPr>
          <w:rStyle w:val="None"/>
          <w:outline w:val="0"/>
          <w:color w:val="000000"/>
          <w:sz w:val="22"/>
          <w:szCs w:val="22"/>
          <w:u w:color="000000"/>
          <w14:textFill>
            <w14:solidFill>
              <w14:srgbClr w14:val="000000"/>
            </w14:solidFill>
          </w14:textFill>
        </w:rPr>
      </w:pPr>
      <w:r>
        <w:rPr>
          <w:rStyle w:val="None"/>
          <w:sz w:val="22"/>
          <w:szCs w:val="22"/>
          <w:rtl w:val="0"/>
          <w:lang w:val="en-US"/>
        </w:rPr>
        <w:t>Data sources given in Table S2.</w:t>
      </w:r>
      <w:r>
        <w:rPr>
          <w:rStyle w:val="None"/>
          <w:sz w:val="22"/>
          <w:szCs w:val="22"/>
          <w:rtl w:val="0"/>
          <w:lang w:val="de-DE"/>
        </w:rPr>
        <w:t xml:space="preserve"> </w:t>
      </w:r>
      <w:r>
        <w:rPr>
          <w:rStyle w:val="None"/>
          <w:sz w:val="22"/>
          <w:szCs w:val="22"/>
          <w:rtl w:val="0"/>
          <w:lang w:val="en-US"/>
        </w:rPr>
        <w:t xml:space="preserve">Other than a single outlier point (all alkenone curve, ca 33.1 Ma), </w:t>
      </w:r>
      <w:r>
        <w:rPr>
          <w:rStyle w:val="None"/>
          <w:sz w:val="22"/>
          <w:szCs w:val="22"/>
          <w:rtl w:val="0"/>
          <w:lang w:val="de-DE"/>
        </w:rPr>
        <w:t xml:space="preserve">Alkenone </w:t>
      </w:r>
      <w:r>
        <w:rPr>
          <w:rStyle w:val="None"/>
          <w:sz w:val="22"/>
          <w:szCs w:val="22"/>
          <w:rtl w:val="0"/>
          <w:lang w:val="en-US"/>
        </w:rPr>
        <w:t>curves show coherent pattern of maximum values near 37 Ma, followed by declining values until ca 35 Ma, a smaller peak at ca 34.5, and a rapid decline at ca 34 Ma.</w:t>
      </w:r>
      <w:r>
        <w:rPr>
          <w:rStyle w:val="None"/>
          <w:sz w:val="22"/>
          <w:szCs w:val="22"/>
          <w:rtl w:val="0"/>
          <w:lang w:val="de-DE"/>
        </w:rPr>
        <w:t xml:space="preserve"> </w:t>
      </w:r>
      <w:r>
        <w:rPr>
          <w:rStyle w:val="None"/>
          <w:sz w:val="22"/>
          <w:szCs w:val="22"/>
          <w:rtl w:val="0"/>
          <w:lang w:val="en-US"/>
        </w:rPr>
        <w:t>Data younger than ca 32 Ma is relatively sparse and different data subsets do not show the same degree of coherency, although all agree on eventual decline to values near 40 ppm by ca 25 Ma</w:t>
      </w:r>
      <w:r>
        <w:rPr>
          <w:rStyle w:val="None"/>
          <w:sz w:val="22"/>
          <w:szCs w:val="22"/>
          <w:rtl w:val="0"/>
          <w:lang w:val="de-DE"/>
        </w:rPr>
        <w:t>.</w:t>
      </w:r>
    </w:p>
    <w:p>
      <w:pPr>
        <w:pStyle w:val="Body A"/>
        <w:suppressAutoHyphens w:val="1"/>
        <w:jc w:val="both"/>
        <w:rPr>
          <w:rStyle w:val="None"/>
          <w:outline w:val="0"/>
          <w:color w:val="000000"/>
          <w:u w:color="000000"/>
          <w14:textFill>
            <w14:solidFill>
              <w14:srgbClr w14:val="000000"/>
            </w14:solidFill>
          </w14:textFill>
        </w:rPr>
      </w:pPr>
    </w:p>
    <w:p>
      <w:pPr>
        <w:pStyle w:val="Body A"/>
        <w:suppressAutoHyphens w:val="1"/>
        <w:jc w:val="both"/>
      </w:pPr>
    </w:p>
    <w:p>
      <w:pPr>
        <w:pStyle w:val="Body A"/>
        <w:suppressAutoHyphens w:val="1"/>
        <w:jc w:val="both"/>
      </w:pPr>
    </w:p>
    <w:p>
      <w:pPr>
        <w:pStyle w:val="SM Heading"/>
        <w:spacing w:after="0"/>
        <w:rPr>
          <w:rStyle w:val="None"/>
          <w:sz w:val="20"/>
          <w:szCs w:val="20"/>
        </w:rPr>
      </w:pPr>
      <w:r>
        <w:rPr>
          <w:rStyle w:val="None"/>
          <w:sz w:val="22"/>
          <w:szCs w:val="22"/>
          <w:rtl w:val="0"/>
          <w:lang w:val="de-DE"/>
        </w:rPr>
        <w:t>Table S1:</w:t>
      </w:r>
      <w:r>
        <w:rPr>
          <w:rStyle w:val="None"/>
          <w:sz w:val="22"/>
          <w:szCs w:val="22"/>
          <w:rtl w:val="0"/>
          <w:lang w:val="en-US"/>
        </w:rPr>
        <w:t xml:space="preserve"> </w:t>
      </w:r>
      <w:r>
        <w:rPr>
          <w:rStyle w:val="None"/>
          <w:b w:val="0"/>
          <w:bCs w:val="0"/>
          <w:sz w:val="22"/>
          <w:szCs w:val="22"/>
          <w:rtl w:val="0"/>
          <w:lang w:val="en-US"/>
        </w:rPr>
        <w:t>Neodymium isotopes data compilation from fossil fish teeth from the locations investigated in this study.</w:t>
      </w:r>
      <w:r>
        <w:rPr>
          <w:rStyle w:val="None"/>
          <w:b w:val="0"/>
          <w:bCs w:val="0"/>
          <w:sz w:val="22"/>
          <w:szCs w:val="22"/>
          <w:lang w:val="en-US"/>
        </w:rPr>
        <w:drawing xmlns:a="http://schemas.openxmlformats.org/drawingml/2006/main">
          <wp:anchor distT="152400" distB="152400" distL="152400" distR="152400" simplePos="0" relativeHeight="251669504" behindDoc="0" locked="0" layoutInCell="1" allowOverlap="1">
            <wp:simplePos x="0" y="0"/>
            <wp:positionH relativeFrom="margin">
              <wp:posOffset>-6350</wp:posOffset>
            </wp:positionH>
            <wp:positionV relativeFrom="page">
              <wp:posOffset>304442</wp:posOffset>
            </wp:positionV>
            <wp:extent cx="5456556" cy="5450205"/>
            <wp:effectExtent l="0" t="0" r="0" b="0"/>
            <wp:wrapThrough wrapText="bothSides" distL="152400" distR="152400">
              <wp:wrapPolygon edited="1">
                <wp:start x="0" y="0"/>
                <wp:lineTo x="0" y="21600"/>
                <wp:lineTo x="21600" y="21600"/>
                <wp:lineTo x="21600" y="0"/>
                <wp:lineTo x="0" y="0"/>
              </wp:wrapPolygon>
            </wp:wrapThrough>
            <wp:docPr id="1073741841" name="officeArt object" descr="Image"/>
            <wp:cNvGraphicFramePr/>
            <a:graphic xmlns:a="http://schemas.openxmlformats.org/drawingml/2006/main">
              <a:graphicData uri="http://schemas.openxmlformats.org/drawingml/2006/picture">
                <pic:pic xmlns:pic="http://schemas.openxmlformats.org/drawingml/2006/picture">
                  <pic:nvPicPr>
                    <pic:cNvPr id="1073741841" name="Image" descr="Image"/>
                    <pic:cNvPicPr>
                      <a:picLocks noChangeAspect="1"/>
                    </pic:cNvPicPr>
                  </pic:nvPicPr>
                  <pic:blipFill>
                    <a:blip r:embed="rId15">
                      <a:extLst/>
                    </a:blip>
                    <a:srcRect l="0" t="0" r="542" b="659"/>
                    <a:stretch>
                      <a:fillRect/>
                    </a:stretch>
                  </pic:blipFill>
                  <pic:spPr>
                    <a:xfrm>
                      <a:off x="0" y="0"/>
                      <a:ext cx="5456556" cy="5450205"/>
                    </a:xfrm>
                    <a:prstGeom prst="rect">
                      <a:avLst/>
                    </a:prstGeom>
                    <a:ln w="12700" cap="flat">
                      <a:noFill/>
                      <a:miter lim="400000"/>
                    </a:ln>
                    <a:effectLst/>
                  </pic:spPr>
                </pic:pic>
              </a:graphicData>
            </a:graphic>
          </wp:anchor>
        </w:drawing>
      </w:r>
    </w:p>
    <w:tbl>
      <w:tblPr>
        <w:tblW w:w="8674"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1193"/>
        <w:gridCol w:w="821"/>
        <w:gridCol w:w="4050"/>
        <w:gridCol w:w="2610"/>
      </w:tblGrid>
      <w:tr>
        <w:tblPrEx>
          <w:shd w:val="clear" w:color="auto" w:fill="d0ddef"/>
        </w:tblPrEx>
        <w:trPr>
          <w:trHeight w:val="241" w:hRule="atLeast"/>
        </w:trPr>
        <w:tc>
          <w:tcPr>
            <w:tcW w:type="dxa" w:w="119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b w:val="1"/>
                <w:bCs w:val="1"/>
                <w:sz w:val="22"/>
                <w:szCs w:val="22"/>
                <w:shd w:val="nil" w:color="auto" w:fill="auto"/>
                <w:rtl w:val="0"/>
                <w:lang w:val="en-US"/>
              </w:rPr>
              <w:t>Sites</w:t>
            </w:r>
          </w:p>
        </w:tc>
        <w:tc>
          <w:tcPr>
            <w:tcW w:type="dxa" w:w="82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b w:val="1"/>
                <w:bCs w:val="1"/>
                <w:sz w:val="22"/>
                <w:szCs w:val="22"/>
                <w:shd w:val="nil" w:color="auto" w:fill="auto"/>
                <w:rtl w:val="0"/>
                <w:lang w:val="en-US"/>
              </w:rPr>
              <w:t>Hole</w:t>
            </w:r>
          </w:p>
        </w:tc>
        <w:tc>
          <w:tcPr>
            <w:tcW w:type="dxa" w:w="405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b w:val="1"/>
                <w:bCs w:val="1"/>
                <w:sz w:val="22"/>
                <w:szCs w:val="22"/>
                <w:shd w:val="nil" w:color="auto" w:fill="auto"/>
                <w:rtl w:val="0"/>
                <w:lang w:val="en-US"/>
              </w:rPr>
              <w:t>Location</w:t>
            </w:r>
          </w:p>
        </w:tc>
        <w:tc>
          <w:tcPr>
            <w:tcW w:type="dxa" w:w="261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b w:val="1"/>
                <w:bCs w:val="1"/>
                <w:sz w:val="22"/>
                <w:szCs w:val="22"/>
                <w:shd w:val="nil" w:color="auto" w:fill="auto"/>
                <w:rtl w:val="0"/>
                <w:lang w:val="en-US"/>
              </w:rPr>
              <w:t>Reference</w:t>
            </w:r>
          </w:p>
        </w:tc>
      </w:tr>
      <w:tr>
        <w:tblPrEx>
          <w:shd w:val="clear" w:color="auto" w:fill="d0ddef"/>
        </w:tblPrEx>
        <w:trPr>
          <w:trHeight w:val="450" w:hRule="atLeast"/>
        </w:trPr>
        <w:tc>
          <w:tcPr>
            <w:tcW w:type="dxa" w:w="119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 xml:space="preserve">1090 </w:t>
            </w:r>
          </w:p>
        </w:tc>
        <w:tc>
          <w:tcPr>
            <w:tcW w:type="dxa" w:w="82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B</w:t>
            </w:r>
          </w:p>
        </w:tc>
        <w:tc>
          <w:tcPr>
            <w:tcW w:type="dxa" w:w="405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 xml:space="preserve">Agulhas Ridge, South Atlantic Ocean </w:t>
            </w:r>
          </w:p>
        </w:tc>
        <w:tc>
          <w:tcPr>
            <w:tcW w:type="dxa" w:w="261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Scher and Martin [2006]</w:t>
            </w:r>
          </w:p>
        </w:tc>
      </w:tr>
      <w:tr>
        <w:tblPrEx>
          <w:shd w:val="clear" w:color="auto" w:fill="d0ddef"/>
        </w:tblPrEx>
        <w:trPr>
          <w:trHeight w:val="241" w:hRule="atLeast"/>
        </w:trPr>
        <w:tc>
          <w:tcPr>
            <w:tcW w:type="dxa" w:w="119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689</w:t>
            </w:r>
          </w:p>
        </w:tc>
        <w:tc>
          <w:tcPr>
            <w:tcW w:type="dxa" w:w="82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B</w:t>
            </w:r>
          </w:p>
        </w:tc>
        <w:tc>
          <w:tcPr>
            <w:tcW w:type="dxa" w:w="405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 xml:space="preserve">Maud Rise, Southern Ocean </w:t>
            </w:r>
          </w:p>
        </w:tc>
        <w:tc>
          <w:tcPr>
            <w:tcW w:type="dxa" w:w="261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Scher and Martin [2004]</w:t>
            </w:r>
          </w:p>
        </w:tc>
      </w:tr>
      <w:tr>
        <w:tblPrEx>
          <w:shd w:val="clear" w:color="auto" w:fill="d0ddef"/>
        </w:tblPrEx>
        <w:trPr>
          <w:trHeight w:val="241" w:hRule="atLeast"/>
        </w:trPr>
        <w:tc>
          <w:tcPr>
            <w:tcW w:type="dxa" w:w="119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738</w:t>
            </w:r>
          </w:p>
        </w:tc>
        <w:tc>
          <w:tcPr>
            <w:tcW w:type="dxa" w:w="82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B</w:t>
            </w:r>
          </w:p>
        </w:tc>
        <w:tc>
          <w:tcPr>
            <w:tcW w:type="dxa" w:w="405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Kerguelen Plateau, Indian Ocean</w:t>
            </w:r>
          </w:p>
        </w:tc>
        <w:tc>
          <w:tcPr>
            <w:tcW w:type="dxa" w:w="261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Scher and Delaney [2010]</w:t>
            </w:r>
          </w:p>
        </w:tc>
      </w:tr>
      <w:tr>
        <w:tblPrEx>
          <w:shd w:val="clear" w:color="auto" w:fill="d0ddef"/>
        </w:tblPrEx>
        <w:trPr>
          <w:trHeight w:val="241" w:hRule="atLeast"/>
        </w:trPr>
        <w:tc>
          <w:tcPr>
            <w:tcW w:type="dxa" w:w="119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738</w:t>
            </w:r>
          </w:p>
        </w:tc>
        <w:tc>
          <w:tcPr>
            <w:tcW w:type="dxa" w:w="82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B</w:t>
            </w:r>
          </w:p>
        </w:tc>
        <w:tc>
          <w:tcPr>
            <w:tcW w:type="dxa" w:w="405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Kerguelen Plateau, Indian Ocean</w:t>
            </w:r>
          </w:p>
        </w:tc>
        <w:tc>
          <w:tcPr>
            <w:tcW w:type="dxa" w:w="261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Scher et al. [2011]</w:t>
            </w:r>
          </w:p>
        </w:tc>
      </w:tr>
      <w:tr>
        <w:tblPrEx>
          <w:shd w:val="clear" w:color="auto" w:fill="d0ddef"/>
        </w:tblPrEx>
        <w:trPr>
          <w:trHeight w:val="241" w:hRule="atLeast"/>
        </w:trPr>
        <w:tc>
          <w:tcPr>
            <w:tcW w:type="dxa" w:w="119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738</w:t>
            </w:r>
          </w:p>
        </w:tc>
        <w:tc>
          <w:tcPr>
            <w:tcW w:type="dxa" w:w="82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B</w:t>
            </w:r>
          </w:p>
        </w:tc>
        <w:tc>
          <w:tcPr>
            <w:tcW w:type="dxa" w:w="405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Kerguelen Plateau, Indian Ocean</w:t>
            </w:r>
          </w:p>
        </w:tc>
        <w:tc>
          <w:tcPr>
            <w:tcW w:type="dxa" w:w="261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Scher et al. [2014]</w:t>
            </w:r>
          </w:p>
        </w:tc>
      </w:tr>
      <w:tr>
        <w:tblPrEx>
          <w:shd w:val="clear" w:color="auto" w:fill="d0ddef"/>
        </w:tblPrEx>
        <w:trPr>
          <w:trHeight w:val="241" w:hRule="atLeast"/>
        </w:trPr>
        <w:tc>
          <w:tcPr>
            <w:tcW w:type="dxa" w:w="119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748</w:t>
            </w:r>
          </w:p>
        </w:tc>
        <w:tc>
          <w:tcPr>
            <w:tcW w:type="dxa" w:w="82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B</w:t>
            </w:r>
          </w:p>
        </w:tc>
        <w:tc>
          <w:tcPr>
            <w:tcW w:type="dxa" w:w="405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Kerguelen Plateau, Indian Ocean</w:t>
            </w:r>
          </w:p>
        </w:tc>
        <w:tc>
          <w:tcPr>
            <w:tcW w:type="dxa" w:w="261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Wright et al. [2018]</w:t>
            </w:r>
          </w:p>
        </w:tc>
      </w:tr>
      <w:tr>
        <w:tblPrEx>
          <w:shd w:val="clear" w:color="auto" w:fill="d0ddef"/>
        </w:tblPrEx>
        <w:trPr>
          <w:trHeight w:val="241" w:hRule="atLeast"/>
        </w:trPr>
        <w:tc>
          <w:tcPr>
            <w:tcW w:type="dxa" w:w="119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744</w:t>
            </w:r>
          </w:p>
        </w:tc>
        <w:tc>
          <w:tcPr>
            <w:tcW w:type="dxa" w:w="82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A</w:t>
            </w:r>
          </w:p>
        </w:tc>
        <w:tc>
          <w:tcPr>
            <w:tcW w:type="dxa" w:w="405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Kerguelen Plateau, Indian Ocean</w:t>
            </w:r>
          </w:p>
        </w:tc>
        <w:tc>
          <w:tcPr>
            <w:tcW w:type="dxa" w:w="261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Body A"/>
              <w:widowControl w:val="0"/>
              <w:suppressAutoHyphens w:val="1"/>
              <w:jc w:val="center"/>
            </w:pPr>
            <w:r>
              <w:rPr>
                <w:rStyle w:val="None"/>
                <w:sz w:val="22"/>
                <w:szCs w:val="22"/>
                <w:shd w:val="nil" w:color="auto" w:fill="auto"/>
                <w:rtl w:val="0"/>
                <w:lang w:val="en-US"/>
              </w:rPr>
              <w:t>Wright et al. [2018]</w:t>
            </w:r>
          </w:p>
        </w:tc>
      </w:tr>
    </w:tbl>
    <w:p>
      <w:pPr>
        <w:pStyle w:val="SM Heading"/>
        <w:spacing w:after="0"/>
        <w:rPr>
          <w:rStyle w:val="None"/>
          <w:sz w:val="20"/>
          <w:szCs w:val="20"/>
        </w:rPr>
      </w:pPr>
    </w:p>
    <w:p>
      <w:pPr>
        <w:pStyle w:val="SM Heading"/>
        <w:spacing w:after="0"/>
        <w:rPr>
          <w:rStyle w:val="None"/>
          <w:sz w:val="20"/>
          <w:szCs w:val="20"/>
        </w:rPr>
      </w:pPr>
    </w:p>
    <w:p>
      <w:pPr>
        <w:pStyle w:val="SM Heading"/>
        <w:spacing w:after="0"/>
        <w:rPr>
          <w:rStyle w:val="None"/>
          <w:sz w:val="20"/>
          <w:szCs w:val="20"/>
        </w:rPr>
      </w:pPr>
    </w:p>
    <w:p>
      <w:pPr>
        <w:pStyle w:val="SM Heading"/>
        <w:spacing w:after="0"/>
        <w:rPr>
          <w:rStyle w:val="None"/>
          <w:sz w:val="20"/>
          <w:szCs w:val="20"/>
        </w:rPr>
      </w:pPr>
    </w:p>
    <w:p>
      <w:pPr>
        <w:pStyle w:val="SM Heading"/>
        <w:spacing w:after="0"/>
        <w:rPr>
          <w:rStyle w:val="None"/>
          <w:sz w:val="20"/>
          <w:szCs w:val="20"/>
        </w:rPr>
      </w:pPr>
    </w:p>
    <w:p>
      <w:pPr>
        <w:pStyle w:val="SM Heading"/>
        <w:spacing w:after="0"/>
        <w:rPr>
          <w:rStyle w:val="None"/>
          <w:sz w:val="20"/>
          <w:szCs w:val="20"/>
        </w:rPr>
      </w:pPr>
    </w:p>
    <w:p>
      <w:pPr>
        <w:pStyle w:val="SM Heading"/>
        <w:spacing w:after="0"/>
        <w:rPr>
          <w:rStyle w:val="None"/>
          <w:sz w:val="20"/>
          <w:szCs w:val="20"/>
        </w:rPr>
      </w:pPr>
    </w:p>
    <w:p>
      <w:pPr>
        <w:pStyle w:val="SM Heading"/>
        <w:spacing w:after="0"/>
        <w:rPr>
          <w:rStyle w:val="None"/>
          <w:sz w:val="20"/>
          <w:szCs w:val="20"/>
        </w:rPr>
      </w:pPr>
    </w:p>
    <w:p>
      <w:pPr>
        <w:pStyle w:val="SM Heading"/>
        <w:spacing w:after="0"/>
        <w:rPr>
          <w:rStyle w:val="None"/>
          <w:sz w:val="20"/>
          <w:szCs w:val="20"/>
        </w:rPr>
      </w:pPr>
    </w:p>
    <w:p>
      <w:pPr>
        <w:pStyle w:val="SM Heading"/>
        <w:spacing w:after="0"/>
        <w:rPr>
          <w:rStyle w:val="None"/>
          <w:sz w:val="20"/>
          <w:szCs w:val="20"/>
        </w:rPr>
      </w:pPr>
    </w:p>
    <w:p>
      <w:pPr>
        <w:pStyle w:val="SM Heading"/>
        <w:spacing w:after="0"/>
        <w:rPr>
          <w:rStyle w:val="None"/>
          <w:sz w:val="20"/>
          <w:szCs w:val="20"/>
        </w:rPr>
      </w:pPr>
    </w:p>
    <w:p>
      <w:pPr>
        <w:pStyle w:val="SM Heading"/>
        <w:spacing w:after="0"/>
        <w:rPr>
          <w:rStyle w:val="None"/>
          <w:sz w:val="20"/>
          <w:szCs w:val="20"/>
        </w:rPr>
      </w:pPr>
    </w:p>
    <w:p>
      <w:pPr>
        <w:pStyle w:val="SM Heading"/>
        <w:spacing w:after="0"/>
        <w:rPr>
          <w:rStyle w:val="None"/>
          <w:sz w:val="20"/>
          <w:szCs w:val="20"/>
        </w:rPr>
      </w:pPr>
    </w:p>
    <w:p>
      <w:pPr>
        <w:pStyle w:val="SM Heading"/>
        <w:spacing w:after="0"/>
        <w:rPr>
          <w:rStyle w:val="None"/>
          <w:sz w:val="20"/>
          <w:szCs w:val="20"/>
        </w:rPr>
      </w:pPr>
    </w:p>
    <w:p>
      <w:pPr>
        <w:pStyle w:val="SM Heading"/>
        <w:spacing w:after="0"/>
        <w:rPr>
          <w:rStyle w:val="None"/>
          <w:sz w:val="20"/>
          <w:szCs w:val="20"/>
        </w:rPr>
      </w:pPr>
    </w:p>
    <w:p>
      <w:pPr>
        <w:pStyle w:val="SM Heading"/>
        <w:spacing w:after="0"/>
        <w:rPr>
          <w:rStyle w:val="None"/>
          <w:sz w:val="20"/>
          <w:szCs w:val="20"/>
        </w:rPr>
      </w:pPr>
    </w:p>
    <w:p>
      <w:pPr>
        <w:pStyle w:val="SM Heading"/>
        <w:spacing w:after="0"/>
        <w:rPr>
          <w:rStyle w:val="None"/>
        </w:rPr>
      </w:pPr>
    </w:p>
    <w:p>
      <w:pPr>
        <w:pStyle w:val="SM Heading"/>
        <w:spacing w:after="0"/>
        <w:rPr>
          <w:rStyle w:val="None"/>
        </w:rPr>
      </w:pPr>
    </w:p>
    <w:p>
      <w:pPr>
        <w:pStyle w:val="SM Heading"/>
        <w:spacing w:after="0"/>
        <w:rPr>
          <w:rStyle w:val="None"/>
        </w:rPr>
      </w:pPr>
    </w:p>
    <w:p>
      <w:pPr>
        <w:pStyle w:val="SM Heading"/>
        <w:spacing w:after="0"/>
        <w:rPr>
          <w:rStyle w:val="None"/>
          <w:sz w:val="20"/>
          <w:szCs w:val="20"/>
        </w:rPr>
      </w:pPr>
      <w:r>
        <w:rPr>
          <w:rStyle w:val="None"/>
          <w:sz w:val="20"/>
          <w:szCs w:val="20"/>
          <w:rtl w:val="0"/>
          <w:lang w:val="de-DE"/>
        </w:rPr>
        <w:t>Table S2:</w:t>
      </w:r>
      <w:r>
        <w:rPr>
          <w:rStyle w:val="None"/>
          <w:sz w:val="20"/>
          <w:szCs w:val="20"/>
          <w:rtl w:val="0"/>
          <w:lang w:val="en-US"/>
        </w:rPr>
        <w:t xml:space="preserve"> </w:t>
      </w:r>
      <w:r>
        <w:rPr>
          <w:rStyle w:val="None"/>
          <w:b w:val="0"/>
          <w:bCs w:val="0"/>
          <w:i w:val="1"/>
          <w:iCs w:val="1"/>
          <w:sz w:val="20"/>
          <w:szCs w:val="20"/>
          <w:rtl w:val="0"/>
          <w:lang w:val="en-US"/>
        </w:rPr>
        <w:t>p</w:t>
      </w:r>
      <w:r>
        <w:rPr>
          <w:rStyle w:val="None"/>
          <w:b w:val="0"/>
          <w:bCs w:val="0"/>
          <w:sz w:val="20"/>
          <w:szCs w:val="20"/>
          <w:rtl w:val="0"/>
          <w:lang w:val="en-US"/>
        </w:rPr>
        <w:t>CO</w:t>
      </w:r>
      <w:r>
        <w:rPr>
          <w:rStyle w:val="None"/>
          <w:b w:val="0"/>
          <w:bCs w:val="0"/>
          <w:sz w:val="20"/>
          <w:szCs w:val="20"/>
          <w:vertAlign w:val="subscript"/>
          <w:rtl w:val="0"/>
          <w:lang w:val="en-US"/>
        </w:rPr>
        <w:t>2</w:t>
      </w:r>
      <w:r>
        <w:rPr>
          <w:rStyle w:val="None"/>
          <w:b w:val="0"/>
          <w:bCs w:val="0"/>
          <w:sz w:val="20"/>
          <w:szCs w:val="20"/>
          <w:rtl w:val="0"/>
          <w:lang w:val="en-US"/>
        </w:rPr>
        <w:t xml:space="preserve"> data compilation</w:t>
      </w:r>
    </w:p>
    <w:tbl>
      <w:tblPr>
        <w:tblW w:w="8630" w:type="dxa"/>
        <w:jc w:val="left"/>
        <w:tblInd w:w="108" w:type="dxa"/>
        <w:tblBorders>
          <w:top w:val="single" w:color="ffffff" w:sz="8" w:space="0" w:shadow="0" w:frame="0"/>
          <w:left w:val="single" w:color="ffffff" w:sz="8" w:space="0" w:shadow="0" w:frame="0"/>
          <w:bottom w:val="single" w:color="ffffff" w:sz="8" w:space="0" w:shadow="0" w:frame="0"/>
          <w:right w:val="single" w:color="ffffff" w:sz="8" w:space="0" w:shadow="0" w:frame="0"/>
          <w:insideH w:val="single" w:color="ffffff" w:sz="8" w:space="0" w:shadow="0" w:frame="0"/>
          <w:insideV w:val="single" w:color="ffffff" w:sz="8" w:space="0" w:shadow="0" w:frame="0"/>
        </w:tblBorders>
        <w:shd w:val="clear" w:color="auto" w:fill="d0ddef"/>
        <w:tblLayout w:type="fixed"/>
      </w:tblPr>
      <w:tblGrid>
        <w:gridCol w:w="2794"/>
        <w:gridCol w:w="1798"/>
        <w:gridCol w:w="1918"/>
        <w:gridCol w:w="2120"/>
      </w:tblGrid>
      <w:tr>
        <w:tblPrEx>
          <w:shd w:val="clear" w:color="auto" w:fill="d0ddef"/>
        </w:tblPrEx>
        <w:trPr>
          <w:trHeight w:val="241" w:hRule="atLeast"/>
        </w:trPr>
        <w:tc>
          <w:tcPr>
            <w:tcW w:type="dxa" w:w="279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b w:val="1"/>
                <w:bCs w:val="1"/>
                <w:sz w:val="22"/>
                <w:szCs w:val="22"/>
                <w:shd w:val="nil" w:color="auto" w:fill="auto"/>
                <w:rtl w:val="0"/>
                <w:lang w:val="en-US"/>
              </w:rPr>
              <w:t>Reference</w:t>
            </w:r>
          </w:p>
        </w:tc>
        <w:tc>
          <w:tcPr>
            <w:tcW w:type="dxa" w:w="1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b w:val="1"/>
                <w:bCs w:val="1"/>
                <w:sz w:val="22"/>
                <w:szCs w:val="22"/>
                <w:shd w:val="nil" w:color="auto" w:fill="auto"/>
                <w:rtl w:val="0"/>
                <w:lang w:val="en-US"/>
              </w:rPr>
              <w:t>Method</w:t>
            </w:r>
          </w:p>
        </w:tc>
        <w:tc>
          <w:tcPr>
            <w:tcW w:type="dxa" w:w="191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b w:val="1"/>
                <w:bCs w:val="1"/>
                <w:sz w:val="22"/>
                <w:szCs w:val="22"/>
                <w:shd w:val="nil" w:color="auto" w:fill="auto"/>
                <w:rtl w:val="0"/>
                <w:lang w:val="en-US"/>
              </w:rPr>
              <w:t>Sites</w:t>
            </w:r>
          </w:p>
        </w:tc>
        <w:tc>
          <w:tcPr>
            <w:tcW w:type="dxa" w:w="211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b w:val="1"/>
                <w:bCs w:val="1"/>
                <w:sz w:val="22"/>
                <w:szCs w:val="22"/>
                <w:shd w:val="nil" w:color="auto" w:fill="auto"/>
                <w:rtl w:val="0"/>
                <w:lang w:val="en-US"/>
              </w:rPr>
              <w:t>Location</w:t>
            </w:r>
          </w:p>
        </w:tc>
      </w:tr>
      <w:tr>
        <w:tblPrEx>
          <w:shd w:val="clear" w:color="auto" w:fill="d0ddef"/>
        </w:tblPrEx>
        <w:trPr>
          <w:trHeight w:val="961" w:hRule="atLeast"/>
        </w:trPr>
        <w:tc>
          <w:tcPr>
            <w:tcW w:type="dxa" w:w="279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w:widowControl w:val="0"/>
              <w:suppressAutoHyphens w:val="1"/>
              <w:jc w:val="center"/>
            </w:pPr>
            <w:r>
              <w:rPr>
                <w:rStyle w:val="None"/>
                <w:sz w:val="22"/>
                <w:szCs w:val="22"/>
                <w:u w:color="000000"/>
                <w:shd w:val="nil" w:color="auto" w:fill="auto"/>
                <w:rtl w:val="0"/>
                <w:lang w:val="en-US"/>
                <w14:textOutline w14:w="12700" w14:cap="flat">
                  <w14:noFill/>
                  <w14:miter w14:lim="400000"/>
                </w14:textOutline>
              </w:rPr>
              <w:t>Pagani et al. 2005 (and 1999a, 1999b updated by Henderiks and Pagani 2008).</w:t>
            </w:r>
          </w:p>
        </w:tc>
        <w:tc>
          <w:tcPr>
            <w:tcW w:type="dxa" w:w="1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w:widowControl w:val="0"/>
              <w:suppressAutoHyphens w:val="1"/>
              <w:jc w:val="center"/>
            </w:pPr>
            <w:r>
              <w:rPr>
                <w:rStyle w:val="None"/>
                <w:sz w:val="22"/>
                <w:szCs w:val="22"/>
                <w:u w:color="000000"/>
                <w:shd w:val="nil" w:color="auto" w:fill="auto"/>
                <w:rtl w:val="0"/>
                <w:lang w:val="en-US"/>
                <w14:textOutline w14:w="12700" w14:cap="flat">
                  <w14:noFill/>
                  <w14:miter w14:lim="400000"/>
                </w14:textOutline>
              </w:rPr>
              <w:t>Alkenones</w:t>
            </w:r>
          </w:p>
        </w:tc>
        <w:tc>
          <w:tcPr>
            <w:tcW w:type="dxa" w:w="191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w:widowControl w:val="0"/>
              <w:suppressAutoHyphens w:val="1"/>
              <w:jc w:val="center"/>
              <w:rPr>
                <w:rStyle w:val="None"/>
                <w:sz w:val="22"/>
                <w:szCs w:val="22"/>
                <w:u w:color="000000"/>
                <w:shd w:val="nil" w:color="auto" w:fill="auto"/>
              </w:rPr>
            </w:pPr>
            <w:r>
              <w:rPr>
                <w:rStyle w:val="None"/>
                <w:sz w:val="22"/>
                <w:szCs w:val="22"/>
                <w:u w:color="000000"/>
                <w:shd w:val="nil" w:color="auto" w:fill="auto"/>
                <w:rtl w:val="0"/>
                <w:lang w:val="de-DE"/>
                <w14:textOutline w14:w="12700" w14:cap="flat">
                  <w14:noFill/>
                  <w14:miter w14:lim="400000"/>
                </w14:textOutline>
              </w:rPr>
              <w:t>DSDP</w:t>
            </w:r>
            <w:r>
              <w:rPr>
                <w:rStyle w:val="None"/>
                <w:sz w:val="22"/>
                <w:szCs w:val="22"/>
                <w:u w:color="000000"/>
                <w:shd w:val="nil" w:color="auto" w:fill="auto"/>
                <w:vertAlign w:val="superscript"/>
                <w:rtl w:val="0"/>
                <w:lang w:val="de-DE"/>
                <w14:textOutline w14:w="12700" w14:cap="flat">
                  <w14:noFill/>
                  <w14:miter w14:lim="400000"/>
                </w14:textOutline>
              </w:rPr>
              <w:t xml:space="preserve">b </w:t>
            </w:r>
            <w:r>
              <w:rPr>
                <w:rStyle w:val="None"/>
                <w:sz w:val="22"/>
                <w:szCs w:val="22"/>
                <w:u w:color="000000"/>
                <w:shd w:val="nil" w:color="auto" w:fill="auto"/>
                <w:rtl w:val="0"/>
                <w:lang w:val="de-DE"/>
                <w14:textOutline w14:w="12700" w14:cap="flat">
                  <w14:noFill/>
                  <w14:miter w14:lim="400000"/>
                </w14:textOutline>
              </w:rPr>
              <w:t xml:space="preserve">Sites </w:t>
            </w:r>
            <w:r>
              <w:rPr>
                <w:rStyle w:val="None"/>
                <w:sz w:val="22"/>
                <w:szCs w:val="22"/>
                <w:u w:color="000000"/>
                <w:shd w:val="nil" w:color="auto" w:fill="auto"/>
                <w:rtl w:val="0"/>
                <w:lang w:val="en-US"/>
                <w14:textOutline w14:w="12700" w14:cap="flat">
                  <w14:noFill/>
                  <w14:miter w14:lim="400000"/>
                </w14:textOutline>
              </w:rPr>
              <w:t>511, 513</w:t>
            </w:r>
            <w:r>
              <w:rPr>
                <w:rStyle w:val="None"/>
                <w:sz w:val="22"/>
                <w:szCs w:val="22"/>
                <w:u w:color="000000"/>
                <w:shd w:val="nil" w:color="auto" w:fill="auto"/>
                <w:rtl w:val="0"/>
                <w:lang w:val="de-DE"/>
                <w14:textOutline w14:w="12700" w14:cap="flat">
                  <w14:noFill/>
                  <w14:miter w14:lim="400000"/>
                </w14:textOutline>
              </w:rPr>
              <w:t xml:space="preserve">, </w:t>
            </w:r>
            <w:r>
              <w:rPr>
                <w:rStyle w:val="None"/>
                <w:sz w:val="22"/>
                <w:szCs w:val="22"/>
                <w:u w:color="000000"/>
                <w:shd w:val="nil" w:color="auto" w:fill="auto"/>
                <w:rtl w:val="0"/>
                <w:lang w:val="en-US"/>
                <w14:textOutline w14:w="12700" w14:cap="flat">
                  <w14:noFill/>
                  <w14:miter w14:lim="400000"/>
                </w14:textOutline>
              </w:rPr>
              <w:t>516</w:t>
            </w:r>
            <w:r>
              <w:rPr>
                <w:rStyle w:val="None"/>
                <w:sz w:val="22"/>
                <w:szCs w:val="22"/>
                <w:u w:color="000000"/>
                <w:shd w:val="nil" w:color="auto" w:fill="auto"/>
                <w:rtl w:val="0"/>
                <w:lang w:val="de-DE"/>
                <w14:textOutline w14:w="12700" w14:cap="flat">
                  <w14:noFill/>
                  <w14:miter w14:lim="400000"/>
                </w14:textOutline>
              </w:rPr>
              <w:t xml:space="preserve"> and 612</w:t>
            </w:r>
          </w:p>
          <w:p>
            <w:pPr>
              <w:pStyle w:val="Body"/>
              <w:widowControl w:val="0"/>
              <w:suppressAutoHyphens w:val="1"/>
              <w:jc w:val="center"/>
              <w:rPr>
                <w:rStyle w:val="None"/>
                <w:sz w:val="22"/>
                <w:szCs w:val="22"/>
                <w:u w:color="000000"/>
                <w:shd w:val="nil" w:color="auto" w:fill="auto"/>
                <w:lang w:val="en-US"/>
                <w14:textOutline w14:w="12700" w14:cap="flat">
                  <w14:noFill/>
                  <w14:miter w14:lim="400000"/>
                </w14:textOutline>
              </w:rPr>
            </w:pPr>
          </w:p>
          <w:p>
            <w:pPr>
              <w:pStyle w:val="Body"/>
              <w:widowControl w:val="0"/>
              <w:suppressAutoHyphens w:val="1"/>
              <w:bidi w:val="0"/>
              <w:ind w:left="0" w:right="0" w:firstLine="0"/>
              <w:jc w:val="center"/>
              <w:rPr>
                <w:rtl w:val="0"/>
              </w:rPr>
            </w:pPr>
            <w:r>
              <w:rPr>
                <w:rStyle w:val="None"/>
                <w:sz w:val="22"/>
                <w:szCs w:val="22"/>
                <w:u w:color="000000"/>
                <w:shd w:val="nil" w:color="auto" w:fill="auto"/>
                <w:rtl w:val="0"/>
                <w:lang w:val="de-DE"/>
                <w14:textOutline w14:w="12700" w14:cap="flat">
                  <w14:noFill/>
                  <w14:miter w14:lim="400000"/>
                </w14:textOutline>
              </w:rPr>
              <w:t>ODP Site 803</w:t>
            </w:r>
          </w:p>
        </w:tc>
        <w:tc>
          <w:tcPr>
            <w:tcW w:type="dxa" w:w="211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Default"/>
              <w:widowControl w:val="0"/>
              <w:spacing w:before="0" w:after="200" w:line="240" w:lineRule="auto"/>
              <w:jc w:val="center"/>
              <w:rPr>
                <w:rStyle w:val="None"/>
                <w:sz w:val="22"/>
                <w:szCs w:val="22"/>
                <w:u w:color="000000"/>
                <w:shd w:val="nil" w:color="auto" w:fill="auto"/>
              </w:rPr>
            </w:pPr>
            <w:r>
              <w:rPr>
                <w:rStyle w:val="None"/>
                <w:rFonts w:ascii="Times New Roman" w:hAnsi="Times New Roman"/>
                <w:outline w:val="0"/>
                <w:color w:val="333333"/>
                <w:sz w:val="22"/>
                <w:szCs w:val="22"/>
                <w:u w:color="333333"/>
                <w:shd w:val="clear" w:color="auto" w:fill="ffffff"/>
                <w:rtl w:val="0"/>
                <w:lang w:val="en-US"/>
                <w14:textFill>
                  <w14:solidFill>
                    <w14:srgbClr w14:val="333333"/>
                  </w14:solidFill>
                </w14:textFill>
              </w:rPr>
              <w:t>Atlantic Ocean</w:t>
            </w:r>
          </w:p>
          <w:p>
            <w:pPr>
              <w:pStyle w:val="Default"/>
              <w:widowControl w:val="0"/>
              <w:bidi w:val="0"/>
              <w:spacing w:before="0" w:after="200" w:line="240" w:lineRule="auto"/>
              <w:ind w:left="0" w:right="0" w:firstLine="0"/>
              <w:jc w:val="center"/>
              <w:rPr>
                <w:rtl w:val="0"/>
              </w:rPr>
            </w:pPr>
            <w:r>
              <w:rPr>
                <w:rStyle w:val="None"/>
                <w:rFonts w:ascii="Times New Roman" w:hAnsi="Times New Roman"/>
                <w:outline w:val="0"/>
                <w:color w:val="333333"/>
                <w:sz w:val="22"/>
                <w:szCs w:val="22"/>
                <w:u w:color="333333"/>
                <w:shd w:val="clear" w:color="auto" w:fill="ffffff"/>
                <w:rtl w:val="0"/>
                <w:lang w:val="en-US"/>
                <w14:textFill>
                  <w14:solidFill>
                    <w14:srgbClr w14:val="333333"/>
                  </w14:solidFill>
                </w14:textFill>
              </w:rPr>
              <w:t>Equatorial Pacific</w:t>
            </w:r>
          </w:p>
        </w:tc>
      </w:tr>
      <w:tr>
        <w:tblPrEx>
          <w:shd w:val="clear" w:color="auto" w:fill="d0ddef"/>
        </w:tblPrEx>
        <w:trPr>
          <w:trHeight w:val="481" w:hRule="atLeast"/>
        </w:trPr>
        <w:tc>
          <w:tcPr>
            <w:tcW w:type="dxa" w:w="279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Zhang et al. [2013]</w:t>
            </w:r>
          </w:p>
        </w:tc>
        <w:tc>
          <w:tcPr>
            <w:tcW w:type="dxa" w:w="1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Alkenones</w:t>
            </w:r>
          </w:p>
        </w:tc>
        <w:tc>
          <w:tcPr>
            <w:tcW w:type="dxa" w:w="191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de-DE"/>
              </w:rPr>
              <w:t>ODP</w:t>
            </w:r>
            <w:r>
              <w:rPr>
                <w:rStyle w:val="None"/>
                <w:sz w:val="22"/>
                <w:szCs w:val="22"/>
                <w:shd w:val="nil" w:color="auto" w:fill="auto"/>
                <w:vertAlign w:val="superscript"/>
                <w:rtl w:val="0"/>
                <w:lang w:val="de-DE"/>
              </w:rPr>
              <w:t>a</w:t>
            </w:r>
            <w:r>
              <w:rPr>
                <w:rStyle w:val="None"/>
                <w:sz w:val="22"/>
                <w:szCs w:val="22"/>
                <w:shd w:val="nil" w:color="auto" w:fill="auto"/>
                <w:rtl w:val="0"/>
                <w:lang w:val="de-DE"/>
              </w:rPr>
              <w:t xml:space="preserve"> Site </w:t>
            </w:r>
            <w:r>
              <w:rPr>
                <w:rStyle w:val="None"/>
                <w:sz w:val="22"/>
                <w:szCs w:val="22"/>
                <w:shd w:val="nil" w:color="auto" w:fill="auto"/>
                <w:rtl w:val="0"/>
                <w:lang w:val="en-US"/>
              </w:rPr>
              <w:t>925 A</w:t>
            </w:r>
          </w:p>
        </w:tc>
        <w:tc>
          <w:tcPr>
            <w:tcW w:type="dxa" w:w="211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w:widowControl w:val="0"/>
              <w:suppressAutoHyphens w:val="1"/>
              <w:jc w:val="center"/>
            </w:pPr>
            <w:r>
              <w:rPr>
                <w:rStyle w:val="None"/>
                <w:outline w:val="0"/>
                <w:color w:val="363132"/>
                <w:sz w:val="22"/>
                <w:szCs w:val="22"/>
                <w:u w:color="000000"/>
                <w:shd w:val="nil" w:color="auto" w:fill="auto"/>
                <w:rtl w:val="0"/>
                <w:lang w:val="en-US"/>
                <w14:textOutline w14:w="12700" w14:cap="flat">
                  <w14:noFill/>
                  <w14:miter w14:lim="400000"/>
                </w14:textOutline>
                <w14:textFill>
                  <w14:solidFill>
                    <w14:srgbClr w14:val="363132"/>
                  </w14:solidFill>
                </w14:textFill>
              </w:rPr>
              <w:t>Western equatorial Atlantic Ocean</w:t>
            </w:r>
          </w:p>
        </w:tc>
      </w:tr>
      <w:tr>
        <w:tblPrEx>
          <w:shd w:val="clear" w:color="auto" w:fill="d0ddef"/>
        </w:tblPrEx>
        <w:trPr>
          <w:trHeight w:val="241" w:hRule="atLeast"/>
        </w:trPr>
        <w:tc>
          <w:tcPr>
            <w:tcW w:type="dxa" w:w="279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Anagnostou et al. [2016]</w:t>
            </w:r>
          </w:p>
        </w:tc>
        <w:tc>
          <w:tcPr>
            <w:tcW w:type="dxa" w:w="1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Boron isotopes</w:t>
            </w:r>
          </w:p>
        </w:tc>
        <w:tc>
          <w:tcPr>
            <w:tcW w:type="dxa" w:w="191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TDP 12 e 13</w:t>
            </w:r>
          </w:p>
        </w:tc>
        <w:tc>
          <w:tcPr>
            <w:tcW w:type="dxa" w:w="211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w:widowControl w:val="0"/>
              <w:suppressAutoHyphens w:val="1"/>
              <w:jc w:val="center"/>
            </w:pPr>
            <w:r>
              <w:rPr>
                <w:rStyle w:val="None"/>
                <w:sz w:val="22"/>
                <w:szCs w:val="22"/>
                <w:u w:color="000000"/>
                <w:shd w:val="nil" w:color="auto" w:fill="auto"/>
                <w:rtl w:val="0"/>
                <w:lang w:val="en-US"/>
                <w14:textOutline w14:w="12700" w14:cap="flat">
                  <w14:noFill/>
                  <w14:miter w14:lim="400000"/>
                </w14:textOutline>
              </w:rPr>
              <w:t>Tanzania</w:t>
            </w:r>
          </w:p>
        </w:tc>
      </w:tr>
      <w:tr>
        <w:tblPrEx>
          <w:shd w:val="clear" w:color="auto" w:fill="d0ddef"/>
        </w:tblPrEx>
        <w:trPr>
          <w:trHeight w:val="241" w:hRule="atLeast"/>
        </w:trPr>
        <w:tc>
          <w:tcPr>
            <w:tcW w:type="dxa" w:w="279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w:widowControl w:val="0"/>
              <w:suppressAutoHyphens w:val="1"/>
              <w:jc w:val="center"/>
            </w:pPr>
            <w:r>
              <w:rPr>
                <w:rStyle w:val="None"/>
                <w:sz w:val="22"/>
                <w:szCs w:val="22"/>
                <w:u w:color="000000"/>
                <w:shd w:val="nil" w:color="auto" w:fill="auto"/>
                <w:rtl w:val="0"/>
                <w:lang w:val="en-US"/>
                <w14:textOutline w14:w="12700" w14:cap="flat">
                  <w14:noFill/>
                  <w14:miter w14:lim="400000"/>
                </w14:textOutline>
              </w:rPr>
              <w:t>Anagnostou et al. [2020]</w:t>
            </w:r>
          </w:p>
        </w:tc>
        <w:tc>
          <w:tcPr>
            <w:tcW w:type="dxa" w:w="1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w:widowControl w:val="0"/>
              <w:suppressAutoHyphens w:val="1"/>
              <w:jc w:val="center"/>
            </w:pPr>
            <w:r>
              <w:rPr>
                <w:rStyle w:val="None"/>
                <w:sz w:val="22"/>
                <w:szCs w:val="22"/>
                <w:u w:color="000000"/>
                <w:shd w:val="nil" w:color="auto" w:fill="auto"/>
                <w:rtl w:val="0"/>
                <w:lang w:val="en-US"/>
                <w14:textOutline w14:w="12700" w14:cap="flat">
                  <w14:noFill/>
                  <w14:miter w14:lim="400000"/>
                </w14:textOutline>
              </w:rPr>
              <w:t>Boron isotopes</w:t>
            </w:r>
          </w:p>
        </w:tc>
        <w:tc>
          <w:tcPr>
            <w:tcW w:type="dxa" w:w="191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w:widowControl w:val="0"/>
              <w:suppressAutoHyphens w:val="1"/>
              <w:jc w:val="center"/>
            </w:pPr>
            <w:r>
              <w:rPr>
                <w:rStyle w:val="None"/>
                <w:sz w:val="22"/>
                <w:szCs w:val="22"/>
                <w:u w:color="000000"/>
                <w:shd w:val="nil" w:color="auto" w:fill="auto"/>
                <w:rtl w:val="0"/>
                <w:lang w:val="en-US"/>
                <w14:textOutline w14:w="12700" w14:cap="flat">
                  <w14:noFill/>
                  <w14:miter w14:lim="400000"/>
                </w14:textOutline>
              </w:rPr>
              <w:t>ODP Site 865</w:t>
            </w:r>
          </w:p>
        </w:tc>
        <w:tc>
          <w:tcPr>
            <w:tcW w:type="dxa" w:w="211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w:widowControl w:val="0"/>
              <w:suppressAutoHyphens w:val="1"/>
              <w:jc w:val="center"/>
            </w:pPr>
            <w:r>
              <w:rPr>
                <w:rStyle w:val="None"/>
                <w:sz w:val="22"/>
                <w:szCs w:val="22"/>
                <w:u w:color="000000"/>
                <w:shd w:val="nil" w:color="auto" w:fill="auto"/>
                <w:rtl w:val="0"/>
                <w:lang w:val="en-US"/>
                <w14:textOutline w14:w="12700" w14:cap="flat">
                  <w14:noFill/>
                  <w14:miter w14:lim="400000"/>
                </w14:textOutline>
              </w:rPr>
              <w:t>Equatorial Pacific</w:t>
            </w:r>
          </w:p>
        </w:tc>
      </w:tr>
      <w:tr>
        <w:tblPrEx>
          <w:shd w:val="clear" w:color="auto" w:fill="d0ddef"/>
        </w:tblPrEx>
        <w:trPr>
          <w:trHeight w:val="721" w:hRule="atLeast"/>
        </w:trPr>
        <w:tc>
          <w:tcPr>
            <w:tcW w:type="dxa" w:w="279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w:widowControl w:val="0"/>
              <w:suppressAutoHyphens w:val="1"/>
              <w:jc w:val="center"/>
            </w:pPr>
            <w:r>
              <w:rPr>
                <w:rStyle w:val="None"/>
                <w:sz w:val="22"/>
                <w:szCs w:val="22"/>
                <w:u w:color="000000"/>
                <w:shd w:val="nil" w:color="auto" w:fill="auto"/>
                <w:rtl w:val="0"/>
                <w:lang w:val="en-US"/>
                <w14:textOutline w14:w="12700" w14:cap="flat">
                  <w14:noFill/>
                  <w14:miter w14:lim="400000"/>
                </w14:textOutline>
              </w:rPr>
              <w:t>Henehan et al. [2020]</w:t>
            </w:r>
          </w:p>
        </w:tc>
        <w:tc>
          <w:tcPr>
            <w:tcW w:type="dxa" w:w="1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w:widowControl w:val="0"/>
              <w:suppressAutoHyphens w:val="1"/>
              <w:jc w:val="center"/>
            </w:pPr>
            <w:r>
              <w:rPr>
                <w:rStyle w:val="None"/>
                <w:sz w:val="22"/>
                <w:szCs w:val="22"/>
                <w:u w:color="000000"/>
                <w:shd w:val="nil" w:color="auto" w:fill="auto"/>
                <w:rtl w:val="0"/>
                <w:lang w:val="en-US"/>
                <w14:textOutline w14:w="12700" w14:cap="flat">
                  <w14:noFill/>
                  <w14:miter w14:lim="400000"/>
                </w14:textOutline>
              </w:rPr>
              <w:t>Boron Isotopes</w:t>
            </w:r>
          </w:p>
        </w:tc>
        <w:tc>
          <w:tcPr>
            <w:tcW w:type="dxa" w:w="191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w:widowControl w:val="0"/>
              <w:suppressAutoHyphens w:val="1"/>
              <w:jc w:val="center"/>
              <w:rPr>
                <w:rStyle w:val="None"/>
                <w:sz w:val="22"/>
                <w:szCs w:val="22"/>
                <w:u w:color="000000"/>
                <w:shd w:val="nil" w:color="auto" w:fill="auto"/>
              </w:rPr>
            </w:pPr>
            <w:r>
              <w:rPr>
                <w:rStyle w:val="None"/>
                <w:sz w:val="22"/>
                <w:szCs w:val="22"/>
                <w:u w:color="000000"/>
                <w:shd w:val="nil" w:color="auto" w:fill="auto"/>
                <w:rtl w:val="0"/>
                <w:lang w:val="en-US"/>
                <w14:textOutline w14:w="12700" w14:cap="flat">
                  <w14:noFill/>
                  <w14:miter w14:lim="400000"/>
                </w14:textOutline>
              </w:rPr>
              <w:t xml:space="preserve">ODP Site 1260 </w:t>
            </w:r>
          </w:p>
          <w:p>
            <w:pPr>
              <w:pStyle w:val="Body"/>
              <w:widowControl w:val="0"/>
              <w:suppressAutoHyphens w:val="1"/>
              <w:jc w:val="center"/>
              <w:rPr>
                <w:rStyle w:val="None"/>
                <w:sz w:val="22"/>
                <w:szCs w:val="22"/>
                <w:u w:color="000000"/>
                <w:shd w:val="nil" w:color="auto" w:fill="auto"/>
                <w:lang w:val="en-US"/>
              </w:rPr>
            </w:pPr>
          </w:p>
          <w:p>
            <w:pPr>
              <w:pStyle w:val="Body"/>
              <w:widowControl w:val="0"/>
              <w:suppressAutoHyphens w:val="1"/>
              <w:bidi w:val="0"/>
              <w:ind w:left="0" w:right="0" w:firstLine="0"/>
              <w:jc w:val="center"/>
              <w:rPr>
                <w:rtl w:val="0"/>
              </w:rPr>
            </w:pPr>
            <w:r>
              <w:rPr>
                <w:rStyle w:val="None"/>
                <w:sz w:val="22"/>
                <w:szCs w:val="22"/>
                <w:u w:color="000000"/>
                <w:shd w:val="nil" w:color="auto" w:fill="auto"/>
                <w:rtl w:val="0"/>
                <w:lang w:val="en-US"/>
                <w14:textOutline w14:w="12700" w14:cap="flat">
                  <w14:noFill/>
                  <w14:miter w14:lim="400000"/>
                </w14:textOutline>
              </w:rPr>
              <w:t>ODP Site 865</w:t>
            </w:r>
          </w:p>
        </w:tc>
        <w:tc>
          <w:tcPr>
            <w:tcW w:type="dxa" w:w="211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Default"/>
              <w:widowControl w:val="0"/>
              <w:spacing w:before="0" w:after="200" w:line="240" w:lineRule="auto"/>
              <w:jc w:val="center"/>
              <w:rPr>
                <w:rStyle w:val="None"/>
                <w:sz w:val="22"/>
                <w:szCs w:val="22"/>
                <w:u w:color="000000"/>
                <w:shd w:val="nil" w:color="auto" w:fill="auto"/>
              </w:rPr>
            </w:pPr>
            <w:r>
              <w:rPr>
                <w:rStyle w:val="None"/>
                <w:rFonts w:ascii="Times New Roman" w:hAnsi="Times New Roman"/>
                <w:outline w:val="0"/>
                <w:color w:val="333333"/>
                <w:sz w:val="22"/>
                <w:szCs w:val="22"/>
                <w:u w:color="333333"/>
                <w:shd w:val="clear" w:color="auto" w:fill="ffffff"/>
                <w:rtl w:val="0"/>
                <w:lang w:val="en-US"/>
                <w14:textFill>
                  <w14:solidFill>
                    <w14:srgbClr w14:val="333333"/>
                  </w14:solidFill>
                </w14:textFill>
              </w:rPr>
              <w:t>Equatorial Atlantic</w:t>
            </w:r>
          </w:p>
          <w:p>
            <w:pPr>
              <w:pStyle w:val="Default"/>
              <w:widowControl w:val="0"/>
              <w:bidi w:val="0"/>
              <w:spacing w:before="0" w:after="200" w:line="240" w:lineRule="auto"/>
              <w:ind w:left="0" w:right="0" w:firstLine="0"/>
              <w:jc w:val="center"/>
              <w:rPr>
                <w:rtl w:val="0"/>
              </w:rPr>
            </w:pPr>
            <w:r>
              <w:rPr>
                <w:rStyle w:val="None"/>
                <w:rFonts w:ascii="Times New Roman" w:hAnsi="Times New Roman"/>
                <w:outline w:val="0"/>
                <w:color w:val="333333"/>
                <w:sz w:val="22"/>
                <w:szCs w:val="22"/>
                <w:u w:color="333333"/>
                <w:shd w:val="clear" w:color="auto" w:fill="ffffff"/>
                <w:rtl w:val="0"/>
                <w:lang w:val="en-US"/>
                <w14:textFill>
                  <w14:solidFill>
                    <w14:srgbClr w14:val="333333"/>
                  </w14:solidFill>
                </w14:textFill>
              </w:rPr>
              <w:t>Equatorial Pacific</w:t>
            </w:r>
          </w:p>
        </w:tc>
      </w:tr>
      <w:tr>
        <w:tblPrEx>
          <w:shd w:val="clear" w:color="auto" w:fill="d0ddef"/>
        </w:tblPrEx>
        <w:trPr>
          <w:trHeight w:val="721" w:hRule="atLeast"/>
        </w:trPr>
        <w:tc>
          <w:tcPr>
            <w:tcW w:type="dxa" w:w="279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Pearson et al. [2009] (updated by Anagnostou et al. 2016)</w:t>
            </w:r>
          </w:p>
        </w:tc>
        <w:tc>
          <w:tcPr>
            <w:tcW w:type="dxa" w:w="1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Boron isotopes</w:t>
            </w:r>
          </w:p>
        </w:tc>
        <w:tc>
          <w:tcPr>
            <w:tcW w:type="dxa" w:w="191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TDP</w:t>
            </w:r>
            <w:r>
              <w:rPr>
                <w:rStyle w:val="None"/>
                <w:sz w:val="22"/>
                <w:szCs w:val="22"/>
                <w:shd w:val="nil" w:color="auto" w:fill="auto"/>
                <w:vertAlign w:val="superscript"/>
                <w:rtl w:val="0"/>
                <w:lang w:val="en-US"/>
              </w:rPr>
              <w:t>c</w:t>
            </w:r>
            <w:r>
              <w:rPr>
                <w:rStyle w:val="None"/>
                <w:sz w:val="22"/>
                <w:szCs w:val="22"/>
                <w:shd w:val="nil" w:color="auto" w:fill="auto"/>
                <w:rtl w:val="0"/>
                <w:lang w:val="en-US"/>
              </w:rPr>
              <w:t xml:space="preserve"> 12 e 13</w:t>
            </w:r>
          </w:p>
        </w:tc>
        <w:tc>
          <w:tcPr>
            <w:tcW w:type="dxa" w:w="211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Default"/>
              <w:widowControl w:val="0"/>
              <w:spacing w:before="0" w:after="200" w:line="240" w:lineRule="auto"/>
              <w:jc w:val="center"/>
            </w:pPr>
            <w:r>
              <w:rPr>
                <w:rStyle w:val="None"/>
                <w:rFonts w:ascii="Times New Roman" w:hAnsi="Times New Roman"/>
                <w:outline w:val="0"/>
                <w:color w:val="333333"/>
                <w:sz w:val="22"/>
                <w:szCs w:val="22"/>
                <w:u w:color="333333"/>
                <w:shd w:val="clear" w:color="auto" w:fill="ffffff"/>
                <w:rtl w:val="0"/>
                <w:lang w:val="en-US"/>
                <w14:textFill>
                  <w14:solidFill>
                    <w14:srgbClr w14:val="333333"/>
                  </w14:solidFill>
                </w14:textFill>
              </w:rPr>
              <w:t>Tanzania</w:t>
            </w:r>
          </w:p>
        </w:tc>
      </w:tr>
      <w:tr>
        <w:tblPrEx>
          <w:shd w:val="clear" w:color="auto" w:fill="d0ddef"/>
        </w:tblPrEx>
        <w:trPr>
          <w:trHeight w:val="481" w:hRule="atLeast"/>
        </w:trPr>
        <w:tc>
          <w:tcPr>
            <w:tcW w:type="dxa" w:w="279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Breecker and Retallack, [2014]</w:t>
            </w:r>
          </w:p>
        </w:tc>
        <w:tc>
          <w:tcPr>
            <w:tcW w:type="dxa" w:w="1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Paleosols</w:t>
            </w:r>
          </w:p>
        </w:tc>
        <w:tc>
          <w:tcPr>
            <w:tcW w:type="dxa" w:w="191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c>
          <w:tcPr>
            <w:tcW w:type="dxa" w:w="211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r>
      <w:tr>
        <w:tblPrEx>
          <w:shd w:val="clear" w:color="auto" w:fill="d0ddef"/>
        </w:tblPrEx>
        <w:trPr>
          <w:trHeight w:val="241" w:hRule="atLeast"/>
        </w:trPr>
        <w:tc>
          <w:tcPr>
            <w:tcW w:type="dxa" w:w="279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Ekart et al. [1999]</w:t>
            </w:r>
          </w:p>
        </w:tc>
        <w:tc>
          <w:tcPr>
            <w:tcW w:type="dxa" w:w="1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Paleosols</w:t>
            </w:r>
          </w:p>
        </w:tc>
        <w:tc>
          <w:tcPr>
            <w:tcW w:type="dxa" w:w="191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c>
          <w:tcPr>
            <w:tcW w:type="dxa" w:w="211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r>
      <w:tr>
        <w:tblPrEx>
          <w:shd w:val="clear" w:color="auto" w:fill="d0ddef"/>
        </w:tblPrEx>
        <w:trPr>
          <w:trHeight w:val="241" w:hRule="atLeast"/>
        </w:trPr>
        <w:tc>
          <w:tcPr>
            <w:tcW w:type="dxa" w:w="279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Kohn et al. [2015]</w:t>
            </w:r>
          </w:p>
        </w:tc>
        <w:tc>
          <w:tcPr>
            <w:tcW w:type="dxa" w:w="1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Paleosols</w:t>
            </w:r>
          </w:p>
        </w:tc>
        <w:tc>
          <w:tcPr>
            <w:tcW w:type="dxa" w:w="191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c>
          <w:tcPr>
            <w:tcW w:type="dxa" w:w="211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r>
      <w:tr>
        <w:tblPrEx>
          <w:shd w:val="clear" w:color="auto" w:fill="d0ddef"/>
        </w:tblPrEx>
        <w:trPr>
          <w:trHeight w:val="241" w:hRule="atLeast"/>
        </w:trPr>
        <w:tc>
          <w:tcPr>
            <w:tcW w:type="dxa" w:w="279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Srivastava et al. [2013]</w:t>
            </w:r>
          </w:p>
        </w:tc>
        <w:tc>
          <w:tcPr>
            <w:tcW w:type="dxa" w:w="1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Paleosols</w:t>
            </w:r>
          </w:p>
        </w:tc>
        <w:tc>
          <w:tcPr>
            <w:tcW w:type="dxa" w:w="191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c>
          <w:tcPr>
            <w:tcW w:type="dxa" w:w="211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r>
      <w:tr>
        <w:tblPrEx>
          <w:shd w:val="clear" w:color="auto" w:fill="d0ddef"/>
        </w:tblPrEx>
        <w:trPr>
          <w:trHeight w:val="241" w:hRule="atLeast"/>
        </w:trPr>
        <w:tc>
          <w:tcPr>
            <w:tcW w:type="dxa" w:w="279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w:widowControl w:val="0"/>
              <w:suppressAutoHyphens w:val="1"/>
              <w:jc w:val="center"/>
            </w:pPr>
            <w:r>
              <w:rPr>
                <w:rStyle w:val="None"/>
                <w:sz w:val="22"/>
                <w:szCs w:val="22"/>
                <w:u w:color="000000"/>
                <w:shd w:val="nil" w:color="auto" w:fill="auto"/>
                <w:rtl w:val="0"/>
                <w:lang w:val="en-US"/>
                <w14:textOutline w14:w="12700" w14:cap="flat">
                  <w14:noFill/>
                  <w14:miter w14:lim="400000"/>
                </w14:textOutline>
              </w:rPr>
              <w:t>Doria et al. [2011]</w:t>
            </w:r>
          </w:p>
        </w:tc>
        <w:tc>
          <w:tcPr>
            <w:tcW w:type="dxa" w:w="1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w:widowControl w:val="0"/>
              <w:suppressAutoHyphens w:val="1"/>
              <w:jc w:val="center"/>
            </w:pPr>
            <w:r>
              <w:rPr>
                <w:rStyle w:val="None"/>
                <w:sz w:val="22"/>
                <w:szCs w:val="22"/>
                <w:u w:color="000000"/>
                <w:shd w:val="nil" w:color="auto" w:fill="auto"/>
                <w:rtl w:val="0"/>
                <w:lang w:val="en-US"/>
                <w14:textOutline w14:w="12700" w14:cap="flat">
                  <w14:noFill/>
                  <w14:miter w14:lim="400000"/>
                </w14:textOutline>
              </w:rPr>
              <w:t>Stomata</w:t>
            </w:r>
          </w:p>
        </w:tc>
        <w:tc>
          <w:tcPr>
            <w:tcW w:type="dxa" w:w="191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c>
          <w:tcPr>
            <w:tcW w:type="dxa" w:w="211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r>
      <w:tr>
        <w:tblPrEx>
          <w:shd w:val="clear" w:color="auto" w:fill="d0ddef"/>
        </w:tblPrEx>
        <w:trPr>
          <w:trHeight w:val="241" w:hRule="atLeast"/>
        </w:trPr>
        <w:tc>
          <w:tcPr>
            <w:tcW w:type="dxa" w:w="279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w:widowControl w:val="0"/>
              <w:suppressAutoHyphens w:val="1"/>
              <w:jc w:val="center"/>
            </w:pPr>
            <w:r>
              <w:rPr>
                <w:rStyle w:val="None"/>
                <w:sz w:val="22"/>
                <w:szCs w:val="22"/>
                <w:u w:color="000000"/>
                <w:shd w:val="nil" w:color="auto" w:fill="auto"/>
                <w:rtl w:val="0"/>
                <w:lang w:val="en-US"/>
                <w14:textOutline w14:w="12700" w14:cap="flat">
                  <w14:noFill/>
                  <w14:miter w14:lim="400000"/>
                </w14:textOutline>
              </w:rPr>
              <w:t>Erdei et al. [2012]</w:t>
            </w:r>
          </w:p>
        </w:tc>
        <w:tc>
          <w:tcPr>
            <w:tcW w:type="dxa" w:w="1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w:widowControl w:val="0"/>
              <w:suppressAutoHyphens w:val="1"/>
              <w:jc w:val="center"/>
            </w:pPr>
            <w:r>
              <w:rPr>
                <w:rStyle w:val="None"/>
                <w:sz w:val="22"/>
                <w:szCs w:val="22"/>
                <w:u w:color="000000"/>
                <w:shd w:val="nil" w:color="auto" w:fill="auto"/>
                <w:rtl w:val="0"/>
                <w:lang w:val="en-US"/>
                <w14:textOutline w14:w="12700" w14:cap="flat">
                  <w14:noFill/>
                  <w14:miter w14:lim="400000"/>
                </w14:textOutline>
              </w:rPr>
              <w:t>Stomata</w:t>
            </w:r>
          </w:p>
        </w:tc>
        <w:tc>
          <w:tcPr>
            <w:tcW w:type="dxa" w:w="191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c>
          <w:tcPr>
            <w:tcW w:type="dxa" w:w="211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r>
      <w:tr>
        <w:tblPrEx>
          <w:shd w:val="clear" w:color="auto" w:fill="d0ddef"/>
        </w:tblPrEx>
        <w:trPr>
          <w:trHeight w:val="721" w:hRule="atLeast"/>
        </w:trPr>
        <w:tc>
          <w:tcPr>
            <w:tcW w:type="dxa" w:w="279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w:widowControl w:val="0"/>
              <w:suppressAutoHyphens w:val="1"/>
              <w:jc w:val="center"/>
            </w:pPr>
            <w:r>
              <w:rPr>
                <w:rStyle w:val="None"/>
                <w:sz w:val="22"/>
                <w:szCs w:val="22"/>
                <w:u w:color="000000"/>
                <w:shd w:val="nil" w:color="auto" w:fill="auto"/>
                <w:rtl w:val="0"/>
                <w:lang w:val="en-US"/>
                <w14:textOutline w14:w="12700" w14:cap="flat">
                  <w14:noFill/>
                  <w14:miter w14:lim="400000"/>
                </w14:textOutline>
              </w:rPr>
              <w:t>Grein et al.</w:t>
            </w:r>
            <w:r>
              <w:rPr>
                <w:rStyle w:val="None"/>
                <w:sz w:val="22"/>
                <w:szCs w:val="22"/>
                <w:u w:color="000000"/>
                <w:shd w:val="nil" w:color="auto" w:fill="auto"/>
                <w:rtl w:val="0"/>
                <w:lang w:val="de-DE"/>
                <w14:textOutline w14:w="12700" w14:cap="flat">
                  <w14:noFill/>
                  <w14:miter w14:lim="400000"/>
                </w14:textOutline>
              </w:rPr>
              <w:t xml:space="preserve"> [</w:t>
            </w:r>
            <w:r>
              <w:rPr>
                <w:rStyle w:val="None"/>
                <w:sz w:val="22"/>
                <w:szCs w:val="22"/>
                <w:u w:color="000000"/>
                <w:shd w:val="nil" w:color="auto" w:fill="auto"/>
                <w:rtl w:val="0"/>
                <w:lang w:val="en-US"/>
                <w14:textOutline w14:w="12700" w14:cap="flat">
                  <w14:noFill/>
                  <w14:miter w14:lim="400000"/>
                </w14:textOutline>
              </w:rPr>
              <w:t>2013</w:t>
            </w:r>
            <w:r>
              <w:rPr>
                <w:rStyle w:val="None"/>
                <w:sz w:val="22"/>
                <w:szCs w:val="22"/>
                <w:u w:color="000000"/>
                <w:shd w:val="nil" w:color="auto" w:fill="auto"/>
                <w:rtl w:val="0"/>
                <w:lang w:val="de-DE"/>
                <w14:textOutline w14:w="12700" w14:cap="flat">
                  <w14:noFill/>
                  <w14:miter w14:lim="400000"/>
                </w14:textOutline>
              </w:rPr>
              <w:t>]</w:t>
            </w:r>
            <w:r>
              <w:rPr>
                <w:rStyle w:val="None"/>
                <w:sz w:val="22"/>
                <w:szCs w:val="22"/>
                <w:u w:color="000000"/>
                <w:shd w:val="nil" w:color="auto" w:fill="auto"/>
                <w:rtl w:val="0"/>
                <w:lang w:val="en-US"/>
                <w14:textOutline w14:w="12700" w14:cap="flat">
                  <w14:noFill/>
                  <w14:miter w14:lim="400000"/>
                </w14:textOutline>
              </w:rPr>
              <w:t xml:space="preserve"> (updates Roth-Nebelsick et al.2004, 2012)</w:t>
            </w:r>
          </w:p>
        </w:tc>
        <w:tc>
          <w:tcPr>
            <w:tcW w:type="dxa" w:w="1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Stomata</w:t>
            </w:r>
          </w:p>
        </w:tc>
        <w:tc>
          <w:tcPr>
            <w:tcW w:type="dxa" w:w="191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c>
          <w:tcPr>
            <w:tcW w:type="dxa" w:w="211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r>
      <w:tr>
        <w:tblPrEx>
          <w:shd w:val="clear" w:color="auto" w:fill="d0ddef"/>
        </w:tblPrEx>
        <w:trPr>
          <w:trHeight w:val="241" w:hRule="atLeast"/>
        </w:trPr>
        <w:tc>
          <w:tcPr>
            <w:tcW w:type="dxa" w:w="279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K</w:t>
            </w:r>
            <w:r>
              <w:rPr>
                <w:rStyle w:val="None"/>
                <w:sz w:val="22"/>
                <w:szCs w:val="22"/>
                <w:shd w:val="nil" w:color="auto" w:fill="auto"/>
                <w:rtl w:val="0"/>
                <w:lang w:val="en-US"/>
              </w:rPr>
              <w:t>ü</w:t>
            </w:r>
            <w:r>
              <w:rPr>
                <w:rStyle w:val="None"/>
                <w:sz w:val="22"/>
                <w:szCs w:val="22"/>
                <w:shd w:val="nil" w:color="auto" w:fill="auto"/>
                <w:rtl w:val="0"/>
                <w:lang w:val="en-US"/>
              </w:rPr>
              <w:t>rschner et al. [2008]</w:t>
            </w:r>
          </w:p>
        </w:tc>
        <w:tc>
          <w:tcPr>
            <w:tcW w:type="dxa" w:w="1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Stomata</w:t>
            </w:r>
          </w:p>
        </w:tc>
        <w:tc>
          <w:tcPr>
            <w:tcW w:type="dxa" w:w="191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c>
          <w:tcPr>
            <w:tcW w:type="dxa" w:w="211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r>
      <w:tr>
        <w:tblPrEx>
          <w:shd w:val="clear" w:color="auto" w:fill="d0ddef"/>
        </w:tblPrEx>
        <w:trPr>
          <w:trHeight w:val="241" w:hRule="atLeast"/>
        </w:trPr>
        <w:tc>
          <w:tcPr>
            <w:tcW w:type="dxa" w:w="279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w:widowControl w:val="0"/>
              <w:suppressAutoHyphens w:val="1"/>
              <w:jc w:val="center"/>
            </w:pPr>
            <w:r>
              <w:rPr>
                <w:rStyle w:val="None"/>
                <w:sz w:val="22"/>
                <w:szCs w:val="22"/>
                <w:u w:color="000000"/>
                <w:shd w:val="nil" w:color="auto" w:fill="auto"/>
                <w:rtl w:val="0"/>
                <w:lang w:val="en-US"/>
                <w14:textOutline w14:w="12700" w14:cap="flat">
                  <w14:noFill/>
                  <w14:miter w14:lim="400000"/>
                </w14:textOutline>
              </w:rPr>
              <w:t xml:space="preserve">Reichgelt et al. </w:t>
            </w:r>
            <w:r>
              <w:rPr>
                <w:rStyle w:val="None"/>
                <w:sz w:val="22"/>
                <w:szCs w:val="22"/>
                <w:u w:color="000000"/>
                <w:shd w:val="nil" w:color="auto" w:fill="auto"/>
                <w:rtl w:val="0"/>
                <w:lang w:val="de-DE"/>
                <w14:textOutline w14:w="12700" w14:cap="flat">
                  <w14:noFill/>
                  <w14:miter w14:lim="400000"/>
                </w14:textOutline>
              </w:rPr>
              <w:t>[</w:t>
            </w:r>
            <w:r>
              <w:rPr>
                <w:rStyle w:val="None"/>
                <w:sz w:val="22"/>
                <w:szCs w:val="22"/>
                <w:u w:color="000000"/>
                <w:shd w:val="nil" w:color="auto" w:fill="auto"/>
                <w:rtl w:val="0"/>
                <w:lang w:val="en-US"/>
                <w14:textOutline w14:w="12700" w14:cap="flat">
                  <w14:noFill/>
                  <w14:miter w14:lim="400000"/>
                </w14:textOutline>
              </w:rPr>
              <w:t>2016</w:t>
            </w:r>
            <w:r>
              <w:rPr>
                <w:rStyle w:val="None"/>
                <w:sz w:val="22"/>
                <w:szCs w:val="22"/>
                <w:u w:color="000000"/>
                <w:shd w:val="nil" w:color="auto" w:fill="auto"/>
                <w:rtl w:val="0"/>
                <w:lang w:val="de-DE"/>
                <w14:textOutline w14:w="12700" w14:cap="flat">
                  <w14:noFill/>
                  <w14:miter w14:lim="400000"/>
                </w14:textOutline>
              </w:rPr>
              <w:t>]</w:t>
            </w:r>
          </w:p>
        </w:tc>
        <w:tc>
          <w:tcPr>
            <w:tcW w:type="dxa" w:w="1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Stomata</w:t>
            </w:r>
          </w:p>
        </w:tc>
        <w:tc>
          <w:tcPr>
            <w:tcW w:type="dxa" w:w="191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c>
          <w:tcPr>
            <w:tcW w:type="dxa" w:w="211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r>
      <w:tr>
        <w:tblPrEx>
          <w:shd w:val="clear" w:color="auto" w:fill="d0ddef"/>
        </w:tblPrEx>
        <w:trPr>
          <w:trHeight w:val="241" w:hRule="atLeast"/>
        </w:trPr>
        <w:tc>
          <w:tcPr>
            <w:tcW w:type="dxa" w:w="279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Retallack [2009]</w:t>
            </w:r>
          </w:p>
        </w:tc>
        <w:tc>
          <w:tcPr>
            <w:tcW w:type="dxa" w:w="1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Stomata</w:t>
            </w:r>
          </w:p>
        </w:tc>
        <w:tc>
          <w:tcPr>
            <w:tcW w:type="dxa" w:w="191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c>
          <w:tcPr>
            <w:tcW w:type="dxa" w:w="211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r>
      <w:tr>
        <w:tblPrEx>
          <w:shd w:val="clear" w:color="auto" w:fill="d0ddef"/>
        </w:tblPrEx>
        <w:trPr>
          <w:trHeight w:val="241" w:hRule="atLeast"/>
        </w:trPr>
        <w:tc>
          <w:tcPr>
            <w:tcW w:type="dxa" w:w="279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Roth-Nebelsick et al. [2012]</w:t>
            </w:r>
          </w:p>
        </w:tc>
        <w:tc>
          <w:tcPr>
            <w:tcW w:type="dxa" w:w="1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Stomata</w:t>
            </w:r>
          </w:p>
        </w:tc>
        <w:tc>
          <w:tcPr>
            <w:tcW w:type="dxa" w:w="191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c>
          <w:tcPr>
            <w:tcW w:type="dxa" w:w="211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r>
      <w:tr>
        <w:tblPrEx>
          <w:shd w:val="clear" w:color="auto" w:fill="d0ddef"/>
        </w:tblPrEx>
        <w:trPr>
          <w:trHeight w:val="331" w:hRule="atLeast"/>
        </w:trPr>
        <w:tc>
          <w:tcPr>
            <w:tcW w:type="dxa" w:w="279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 xml:space="preserve">Roth-Nebelsick et al. </w:t>
            </w:r>
            <w:r>
              <w:rPr>
                <w:rStyle w:val="None"/>
                <w:sz w:val="22"/>
                <w:szCs w:val="22"/>
                <w:shd w:val="nil" w:color="auto" w:fill="auto"/>
                <w:rtl w:val="0"/>
                <w:lang w:val="de-DE"/>
              </w:rPr>
              <w:t>[</w:t>
            </w:r>
            <w:r>
              <w:rPr>
                <w:rStyle w:val="None"/>
                <w:sz w:val="22"/>
                <w:szCs w:val="22"/>
                <w:shd w:val="nil" w:color="auto" w:fill="auto"/>
                <w:rtl w:val="0"/>
                <w:lang w:val="en-US"/>
              </w:rPr>
              <w:t>2014</w:t>
            </w:r>
            <w:r>
              <w:rPr>
                <w:rStyle w:val="None"/>
                <w:sz w:val="22"/>
                <w:szCs w:val="22"/>
                <w:shd w:val="nil" w:color="auto" w:fill="auto"/>
                <w:rtl w:val="0"/>
                <w:lang w:val="de-DE"/>
              </w:rPr>
              <w:t>]</w:t>
            </w:r>
          </w:p>
        </w:tc>
        <w:tc>
          <w:tcPr>
            <w:tcW w:type="dxa" w:w="1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Stomata</w:t>
            </w:r>
          </w:p>
        </w:tc>
        <w:tc>
          <w:tcPr>
            <w:tcW w:type="dxa" w:w="191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c>
          <w:tcPr>
            <w:tcW w:type="dxa" w:w="211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r>
      <w:tr>
        <w:tblPrEx>
          <w:shd w:val="clear" w:color="auto" w:fill="d0ddef"/>
        </w:tblPrEx>
        <w:trPr>
          <w:trHeight w:val="241" w:hRule="atLeast"/>
        </w:trPr>
        <w:tc>
          <w:tcPr>
            <w:tcW w:type="dxa" w:w="279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Steinthorsdottir et al. [2016]</w:t>
            </w:r>
          </w:p>
        </w:tc>
        <w:tc>
          <w:tcPr>
            <w:tcW w:type="dxa" w:w="1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suppressAutoHyphens w:val="1"/>
              <w:jc w:val="center"/>
            </w:pPr>
            <w:r>
              <w:rPr>
                <w:rStyle w:val="None"/>
                <w:sz w:val="22"/>
                <w:szCs w:val="22"/>
                <w:shd w:val="nil" w:color="auto" w:fill="auto"/>
                <w:rtl w:val="0"/>
                <w:lang w:val="en-US"/>
              </w:rPr>
              <w:t>Stomata</w:t>
            </w:r>
          </w:p>
        </w:tc>
        <w:tc>
          <w:tcPr>
            <w:tcW w:type="dxa" w:w="191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c>
          <w:tcPr>
            <w:tcW w:type="dxa" w:w="211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r>
      <w:tr>
        <w:tblPrEx>
          <w:shd w:val="clear" w:color="auto" w:fill="d0ddef"/>
        </w:tblPrEx>
        <w:trPr>
          <w:trHeight w:val="241" w:hRule="atLeast"/>
        </w:trPr>
        <w:tc>
          <w:tcPr>
            <w:tcW w:type="dxa" w:w="279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A"/>
              <w:widowControl w:val="0"/>
              <w:tabs>
                <w:tab w:val="left" w:pos="507"/>
              </w:tabs>
              <w:suppressAutoHyphens w:val="1"/>
              <w:jc w:val="center"/>
            </w:pPr>
            <w:r>
              <w:rPr>
                <w:rStyle w:val="None"/>
                <w:sz w:val="22"/>
                <w:szCs w:val="22"/>
                <w:shd w:val="nil" w:color="auto" w:fill="auto"/>
                <w:rtl w:val="0"/>
                <w:lang w:val="en-US"/>
              </w:rPr>
              <w:t>Sun et al. [2017]</w:t>
            </w:r>
          </w:p>
        </w:tc>
        <w:tc>
          <w:tcPr>
            <w:tcW w:type="dxa" w:w="179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pPr>
              <w:pStyle w:val="Body"/>
              <w:widowControl w:val="0"/>
              <w:suppressAutoHyphens w:val="1"/>
              <w:jc w:val="center"/>
            </w:pPr>
            <w:r>
              <w:rPr>
                <w:rStyle w:val="None"/>
                <w:sz w:val="22"/>
                <w:szCs w:val="22"/>
                <w:u w:color="000000"/>
                <w:shd w:val="nil" w:color="auto" w:fill="auto"/>
                <w:rtl w:val="0"/>
                <w:lang w:val="en-US"/>
                <w14:textOutline w14:w="12700" w14:cap="flat">
                  <w14:noFill/>
                  <w14:miter w14:lim="400000"/>
                </w14:textOutline>
              </w:rPr>
              <w:t>Stomata</w:t>
            </w:r>
          </w:p>
        </w:tc>
        <w:tc>
          <w:tcPr>
            <w:tcW w:type="dxa" w:w="191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c>
          <w:tcPr>
            <w:tcW w:type="dxa" w:w="211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center"/>
          </w:tcPr>
          <w:p/>
        </w:tc>
      </w:tr>
    </w:tbl>
    <w:p>
      <w:pPr>
        <w:pStyle w:val="SM Heading"/>
        <w:widowControl w:val="0"/>
        <w:spacing w:after="0"/>
        <w:rPr>
          <w:rStyle w:val="None"/>
          <w:sz w:val="20"/>
          <w:szCs w:val="20"/>
        </w:rPr>
      </w:pPr>
    </w:p>
    <w:p>
      <w:pPr>
        <w:pStyle w:val="Body A"/>
        <w:suppressAutoHyphens w:val="1"/>
        <w:rPr>
          <w:rStyle w:val="None"/>
          <w:b w:val="1"/>
          <w:bCs w:val="1"/>
          <w:sz w:val="20"/>
          <w:szCs w:val="20"/>
        </w:rPr>
      </w:pPr>
      <w:r>
        <w:rPr>
          <w:rStyle w:val="None"/>
          <w:b w:val="1"/>
          <w:bCs w:val="1"/>
          <w:sz w:val="20"/>
          <w:szCs w:val="20"/>
          <w:rtl w:val="0"/>
          <w:lang w:val="de-DE"/>
        </w:rPr>
        <w:t xml:space="preserve">Note: </w:t>
      </w:r>
      <w:r>
        <w:rPr>
          <w:rStyle w:val="None"/>
          <w:b w:val="1"/>
          <w:bCs w:val="1"/>
          <w:sz w:val="20"/>
          <w:szCs w:val="20"/>
          <w:vertAlign w:val="superscript"/>
          <w:rtl w:val="0"/>
          <w:lang w:val="de-DE"/>
        </w:rPr>
        <w:t>a</w:t>
      </w:r>
      <w:r>
        <w:rPr>
          <w:rStyle w:val="None"/>
          <w:b w:val="1"/>
          <w:bCs w:val="1"/>
          <w:sz w:val="20"/>
          <w:szCs w:val="20"/>
          <w:rtl w:val="0"/>
          <w:lang w:val="de-DE"/>
        </w:rPr>
        <w:t xml:space="preserve"> Ocean Drilling Program; </w:t>
      </w:r>
      <w:r>
        <w:rPr>
          <w:rStyle w:val="None"/>
          <w:b w:val="1"/>
          <w:bCs w:val="1"/>
          <w:sz w:val="20"/>
          <w:szCs w:val="20"/>
          <w:vertAlign w:val="superscript"/>
          <w:rtl w:val="0"/>
          <w:lang w:val="de-DE"/>
        </w:rPr>
        <w:t xml:space="preserve">b </w:t>
      </w:r>
      <w:r>
        <w:rPr>
          <w:rStyle w:val="None"/>
          <w:b w:val="1"/>
          <w:bCs w:val="1"/>
          <w:sz w:val="20"/>
          <w:szCs w:val="20"/>
          <w:rtl w:val="0"/>
          <w:lang w:val="de-DE"/>
        </w:rPr>
        <w:t xml:space="preserve">Deep Sea Drilling Project; </w:t>
      </w:r>
      <w:r>
        <w:rPr>
          <w:rStyle w:val="None"/>
          <w:b w:val="1"/>
          <w:bCs w:val="1"/>
          <w:sz w:val="20"/>
          <w:szCs w:val="20"/>
          <w:vertAlign w:val="superscript"/>
          <w:rtl w:val="0"/>
          <w:lang w:val="de-DE"/>
        </w:rPr>
        <w:t>c</w:t>
      </w:r>
      <w:r>
        <w:rPr>
          <w:rStyle w:val="None"/>
          <w:b w:val="1"/>
          <w:bCs w:val="1"/>
          <w:sz w:val="20"/>
          <w:szCs w:val="20"/>
          <w:rtl w:val="0"/>
          <w:lang w:val="de-DE"/>
        </w:rPr>
        <w:t>Tanzanian Drilling Project</w:t>
      </w:r>
    </w:p>
    <w:p>
      <w:pPr>
        <w:pStyle w:val="Body A"/>
        <w:suppressAutoHyphens w:val="1"/>
        <w:rPr>
          <w:rStyle w:val="None"/>
          <w:b w:val="1"/>
          <w:bCs w:val="1"/>
          <w:sz w:val="20"/>
          <w:szCs w:val="20"/>
        </w:rPr>
      </w:pPr>
    </w:p>
    <w:p>
      <w:pPr>
        <w:pStyle w:val="Body A"/>
        <w:suppressAutoHyphens w:val="1"/>
        <w:rPr>
          <w:rStyle w:val="None"/>
          <w:b w:val="1"/>
          <w:bCs w:val="1"/>
          <w:sz w:val="20"/>
          <w:szCs w:val="20"/>
        </w:rPr>
      </w:pPr>
    </w:p>
    <w:p>
      <w:pPr>
        <w:pStyle w:val="Body A"/>
        <w:suppressAutoHyphens w:val="1"/>
        <w:rPr>
          <w:rStyle w:val="None"/>
          <w:b w:val="1"/>
          <w:bCs w:val="1"/>
          <w:sz w:val="20"/>
          <w:szCs w:val="20"/>
        </w:rPr>
      </w:pPr>
    </w:p>
    <w:p>
      <w:pPr>
        <w:pStyle w:val="Body A"/>
        <w:suppressAutoHyphens w:val="1"/>
        <w:rPr>
          <w:rStyle w:val="None"/>
          <w:b w:val="1"/>
          <w:bCs w:val="1"/>
          <w:sz w:val="20"/>
          <w:szCs w:val="20"/>
        </w:rPr>
      </w:pPr>
    </w:p>
    <w:p>
      <w:pPr>
        <w:pStyle w:val="Body A"/>
        <w:suppressAutoHyphens w:val="1"/>
        <w:rPr>
          <w:rStyle w:val="None"/>
          <w:b w:val="1"/>
          <w:bCs w:val="1"/>
          <w:sz w:val="20"/>
          <w:szCs w:val="20"/>
        </w:rPr>
      </w:pPr>
    </w:p>
    <w:p>
      <w:pPr>
        <w:pStyle w:val="Body A"/>
        <w:suppressAutoHyphens w:val="1"/>
        <w:rPr>
          <w:rStyle w:val="None"/>
          <w:b w:val="1"/>
          <w:bCs w:val="1"/>
        </w:rPr>
      </w:pPr>
      <w:r>
        <w:rPr>
          <w:rStyle w:val="None"/>
          <w:b w:val="1"/>
          <w:bCs w:val="1"/>
          <w:rtl w:val="0"/>
          <w:lang w:val="de-DE"/>
        </w:rPr>
        <w:t>References</w:t>
      </w:r>
    </w:p>
    <w:p>
      <w:pPr>
        <w:pStyle w:val="Body A"/>
        <w:suppressAutoHyphens w:val="1"/>
        <w:rPr>
          <w:rStyle w:val="None"/>
          <w:b w:val="1"/>
          <w:bCs w:val="1"/>
        </w:rPr>
      </w:pP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Fonts w:ascii="Times New Roman" w:cs="Times New Roman" w:hAnsi="Times New Roman" w:eastAsia="Times New Roman"/>
          <w:u w:color="000000"/>
        </w:rPr>
      </w:pPr>
      <w:r>
        <w:rPr>
          <w:rFonts w:ascii="Times New Roman" w:hAnsi="Times New Roman"/>
          <w:u w:color="000000"/>
          <w:rtl w:val="0"/>
          <w:lang w:val="en-US"/>
        </w:rPr>
        <w:t>Anagnostou, E., John, E. H., Edgar, K. M., Foster, G. L., Ridgwell, A., Inglis, G. N., Pancost, R. D., Lunt, D. J., and Pearson, P. N. Changing atmospheric CO2 concentration was the primary driver of early Cenozoic climate: Nature, v. 533, pp. 380-384. https://doi.org/10.1038/nature17423, 2016.</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Style w:val="None"/>
          <w:rFonts w:ascii="Times New Roman" w:cs="Times New Roman" w:hAnsi="Times New Roman" w:eastAsia="Times New Roman"/>
          <w:b w:val="1"/>
          <w:bCs w:val="1"/>
        </w:rPr>
      </w:pPr>
      <w:r>
        <w:rPr>
          <w:rFonts w:ascii="Times New Roman" w:hAnsi="Times New Roman"/>
          <w:rtl w:val="0"/>
          <w:lang w:val="en-US"/>
        </w:rPr>
        <w:t>Anagnostou, E., John, E. H., Babila, T.L., Sexton, P. F., Ridgwell, A., Lunt, D.J., Pearson, P.N., Chalk, T.B., Pancost, R.D. and Foster, G.L.</w:t>
      </w:r>
      <w:r>
        <w:rPr>
          <w:rStyle w:val="None"/>
          <w:rFonts w:ascii="Times New Roman" w:hAnsi="Times New Roman"/>
          <w:i w:val="1"/>
          <w:iCs w:val="1"/>
          <w:rtl w:val="0"/>
          <w:lang w:val="en-US"/>
        </w:rPr>
        <w:t xml:space="preserve"> </w:t>
      </w:r>
      <w:r>
        <w:rPr>
          <w:rFonts w:ascii="Times New Roman" w:hAnsi="Times New Roman"/>
          <w:rtl w:val="0"/>
          <w:lang w:val="en-US"/>
        </w:rPr>
        <w:t xml:space="preserve">Proxy evidence for state-dependence of climate sensitivity in the Eocene greenhouse. </w:t>
      </w:r>
      <w:r>
        <w:rPr>
          <w:rStyle w:val="None"/>
          <w:rFonts w:ascii="Times New Roman" w:hAnsi="Times New Roman"/>
          <w:i w:val="1"/>
          <w:iCs w:val="1"/>
          <w:rtl w:val="0"/>
          <w:lang w:val="en-US"/>
        </w:rPr>
        <w:t>Nature Communications,</w:t>
      </w:r>
      <w:r>
        <w:rPr>
          <w:rFonts w:ascii="Times New Roman" w:hAnsi="Times New Roman"/>
          <w:rtl w:val="0"/>
          <w:lang w:val="en-US"/>
        </w:rPr>
        <w:t>11, 4436. https://doi.org/10.1038/s41467-020-17887-x, 2020.</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Fonts w:ascii="Times New Roman" w:cs="Times New Roman" w:hAnsi="Times New Roman" w:eastAsia="Times New Roman"/>
          <w:u w:color="000000"/>
        </w:rPr>
      </w:pPr>
      <w:r>
        <w:rPr>
          <w:rFonts w:ascii="Times New Roman" w:hAnsi="Times New Roman"/>
          <w:u w:color="000000"/>
          <w:rtl w:val="0"/>
          <w:lang w:val="en-US"/>
        </w:rPr>
        <w:t>Breecker, D.</w:t>
      </w:r>
      <w:r>
        <w:rPr>
          <w:rFonts w:ascii="Times New Roman" w:hAnsi="Times New Roman" w:hint="default"/>
          <w:u w:color="000000"/>
          <w:rtl w:val="0"/>
          <w:lang w:val="en-US"/>
        </w:rPr>
        <w:t> </w:t>
      </w:r>
      <w:r>
        <w:rPr>
          <w:rFonts w:ascii="Times New Roman" w:hAnsi="Times New Roman"/>
          <w:u w:color="000000"/>
          <w:rtl w:val="0"/>
          <w:lang w:val="en-US"/>
        </w:rPr>
        <w:t>&amp;</w:t>
      </w:r>
      <w:r>
        <w:rPr>
          <w:rFonts w:ascii="Times New Roman" w:hAnsi="Times New Roman" w:hint="default"/>
          <w:u w:color="000000"/>
          <w:rtl w:val="0"/>
          <w:lang w:val="en-US"/>
        </w:rPr>
        <w:t> </w:t>
      </w:r>
      <w:r>
        <w:rPr>
          <w:rFonts w:ascii="Times New Roman" w:hAnsi="Times New Roman"/>
          <w:u w:color="000000"/>
          <w:rtl w:val="0"/>
          <w:lang w:val="en-US"/>
        </w:rPr>
        <w:t>Retallack, G.</w:t>
      </w:r>
      <w:r>
        <w:rPr>
          <w:rFonts w:ascii="Times New Roman" w:hAnsi="Times New Roman" w:hint="default"/>
          <w:u w:color="000000"/>
          <w:rtl w:val="0"/>
          <w:lang w:val="en-US"/>
        </w:rPr>
        <w:t> </w:t>
      </w:r>
      <w:r>
        <w:rPr>
          <w:rStyle w:val="Hyperlink.1"/>
          <w:rFonts w:ascii="Times New Roman" w:cs="Times New Roman" w:hAnsi="Times New Roman" w:eastAsia="Times New Roman"/>
          <w:outline w:val="0"/>
          <w:color w:val="0000ff"/>
          <w:u w:val="single" w:color="ffffff"/>
          <w14:textFill>
            <w14:solidFill>
              <w14:srgbClr w14:val="0000FF"/>
            </w14:solidFill>
          </w14:textFill>
        </w:rPr>
        <w:fldChar w:fldCharType="begin" w:fldLock="0"/>
      </w:r>
      <w:r>
        <w:rPr>
          <w:rStyle w:val="Hyperlink.1"/>
          <w:rFonts w:ascii="Times New Roman" w:cs="Times New Roman" w:hAnsi="Times New Roman" w:eastAsia="Times New Roman"/>
          <w:outline w:val="0"/>
          <w:color w:val="0000ff"/>
          <w:u w:val="single" w:color="ffffff"/>
          <w14:textFill>
            <w14:solidFill>
              <w14:srgbClr w14:val="0000FF"/>
            </w14:solidFill>
          </w14:textFill>
        </w:rPr>
        <w:instrText xml:space="preserve"> HYPERLINK "https://doi.org/10.1016/j.palaeo.2014.04.012"</w:instrText>
      </w:r>
      <w:r>
        <w:rPr>
          <w:rStyle w:val="Hyperlink.1"/>
          <w:rFonts w:ascii="Times New Roman" w:cs="Times New Roman" w:hAnsi="Times New Roman" w:eastAsia="Times New Roman"/>
          <w:outline w:val="0"/>
          <w:color w:val="0000ff"/>
          <w:u w:val="single" w:color="ffffff"/>
          <w14:textFill>
            <w14:solidFill>
              <w14:srgbClr w14:val="0000FF"/>
            </w14:solidFill>
          </w14:textFill>
        </w:rPr>
        <w:fldChar w:fldCharType="separate" w:fldLock="0"/>
      </w:r>
      <w:r>
        <w:rPr>
          <w:rStyle w:val="Hyperlink.1"/>
          <w:rFonts w:ascii="Times New Roman" w:hAnsi="Times New Roman"/>
          <w:outline w:val="0"/>
          <w:color w:val="0000ff"/>
          <w:u w:val="single" w:color="ffffff"/>
          <w:rtl w:val="0"/>
          <w:lang w:val="en-US"/>
          <w14:textFill>
            <w14:solidFill>
              <w14:srgbClr w14:val="0000FF"/>
            </w14:solidFill>
          </w14:textFill>
        </w:rPr>
        <w:t>Refining the pedogenic carbonate atmospheric CO</w:t>
      </w:r>
      <w:r>
        <w:rPr>
          <w:rStyle w:val="Hyperlink.1"/>
          <w:rFonts w:ascii="Arial Unicode MS" w:cs="Arial Unicode MS" w:hAnsi="Arial Unicode MS" w:eastAsia="Arial Unicode MS" w:hint="default"/>
          <w:b w:val="0"/>
          <w:bCs w:val="0"/>
          <w:i w:val="0"/>
          <w:iCs w:val="0"/>
          <w:outline w:val="0"/>
          <w:color w:val="0000ff"/>
          <w:u w:val="single" w:color="ffffff"/>
          <w:rtl w:val="0"/>
          <w:lang w:val="en-US"/>
          <w14:textFill>
            <w14:solidFill>
              <w14:srgbClr w14:val="0000FF"/>
            </w14:solidFill>
          </w14:textFill>
        </w:rPr>
        <w:t>₂</w:t>
      </w:r>
      <w:r>
        <w:rPr>
          <w:rStyle w:val="Hyperlink.1"/>
          <w:rFonts w:ascii="Times New Roman" w:hAnsi="Times New Roman"/>
          <w:outline w:val="0"/>
          <w:color w:val="0000ff"/>
          <w:u w:val="single" w:color="ffffff"/>
          <w:rtl w:val="0"/>
          <w:lang w:val="en-US"/>
          <w14:textFill>
            <w14:solidFill>
              <w14:srgbClr w14:val="0000FF"/>
            </w14:solidFill>
          </w14:textFill>
        </w:rPr>
        <w:t xml:space="preserve"> </w:t>
      </w:r>
      <w:r>
        <w:rPr>
          <w:rStyle w:val="Hyperlink.1"/>
          <w:rFonts w:ascii="Times New Roman" w:hAnsi="Times New Roman"/>
          <w:outline w:val="0"/>
          <w:color w:val="0000ff"/>
          <w:u w:val="single" w:color="ffffff"/>
          <w:rtl w:val="0"/>
          <w:lang w:val="en-US"/>
          <w14:textFill>
            <w14:solidFill>
              <w14:srgbClr w14:val="0000FF"/>
            </w14:solidFill>
          </w14:textFill>
        </w:rPr>
        <w:t>proxy and application to Miocene CO</w:t>
      </w:r>
      <w:r>
        <w:rPr>
          <w:rStyle w:val="Hyperlink.1"/>
          <w:rFonts w:ascii="Arial Unicode MS" w:cs="Arial Unicode MS" w:hAnsi="Arial Unicode MS" w:eastAsia="Arial Unicode MS" w:hint="default"/>
          <w:b w:val="0"/>
          <w:bCs w:val="0"/>
          <w:i w:val="0"/>
          <w:iCs w:val="0"/>
          <w:outline w:val="0"/>
          <w:color w:val="0000ff"/>
          <w:u w:val="single" w:color="ffffff"/>
          <w:rtl w:val="0"/>
          <w:lang w:val="en-US"/>
          <w14:textFill>
            <w14:solidFill>
              <w14:srgbClr w14:val="0000FF"/>
            </w14:solidFill>
          </w14:textFill>
        </w:rPr>
        <w:t>₂</w:t>
      </w:r>
      <w:r>
        <w:rPr>
          <w:rFonts w:ascii="Times New Roman" w:cs="Times New Roman" w:hAnsi="Times New Roman" w:eastAsia="Times New Roman"/>
          <w:u w:color="000000"/>
        </w:rPr>
        <w:fldChar w:fldCharType="end" w:fldLock="0"/>
      </w:r>
      <w:r>
        <w:rPr>
          <w:rFonts w:ascii="Times New Roman" w:hAnsi="Times New Roman"/>
          <w:u w:color="000000"/>
          <w:rtl w:val="0"/>
          <w:lang w:val="en-US"/>
        </w:rPr>
        <w:t>.</w:t>
      </w:r>
      <w:r>
        <w:rPr>
          <w:rStyle w:val="None"/>
          <w:rFonts w:ascii="Times New Roman" w:hAnsi="Times New Roman"/>
          <w:i w:val="1"/>
          <w:iCs w:val="1"/>
          <w:u w:color="000000"/>
          <w:rtl w:val="0"/>
          <w:lang w:val="en-US"/>
        </w:rPr>
        <w:t>P</w:t>
      </w:r>
      <w:r>
        <w:rPr>
          <w:rStyle w:val="None"/>
          <w:rFonts w:ascii="Times New Roman" w:hAnsi="Times New Roman"/>
          <w:i w:val="1"/>
          <w:iCs w:val="1"/>
          <w:u w:color="000000"/>
          <w:rtl w:val="0"/>
          <w:lang w:val="de-DE"/>
        </w:rPr>
        <w:t xml:space="preserve"> </w:t>
      </w:r>
      <w:r>
        <w:rPr>
          <w:rStyle w:val="None"/>
          <w:rFonts w:ascii="Times New Roman" w:hAnsi="Times New Roman"/>
          <w:i w:val="1"/>
          <w:iCs w:val="1"/>
          <w:u w:color="000000"/>
          <w:rtl w:val="0"/>
          <w:lang w:val="en-US"/>
        </w:rPr>
        <w:t>alaeogeography, Palaeoclimatology, Palaeoecology, 406</w:t>
      </w:r>
      <w:r>
        <w:rPr>
          <w:rFonts w:ascii="Times New Roman" w:hAnsi="Times New Roman"/>
          <w:u w:color="000000"/>
          <w:rtl w:val="0"/>
          <w:lang w:val="en-US"/>
        </w:rPr>
        <w:t>, 1-8.</w:t>
      </w:r>
      <w:r>
        <w:rPr>
          <w:rFonts w:ascii="Times New Roman" w:hAnsi="Times New Roman" w:hint="default"/>
          <w:u w:color="000000"/>
          <w:rtl w:val="0"/>
          <w:lang w:val="en-US"/>
        </w:rPr>
        <w:t> </w:t>
      </w:r>
      <w:r>
        <w:rPr>
          <w:rFonts w:ascii="Times New Roman" w:cs="Times New Roman" w:hAnsi="Times New Roman" w:eastAsia="Times New Roman"/>
          <w:u w:color="000000"/>
        </w:rPr>
        <w:fldChar w:fldCharType="begin" w:fldLock="0"/>
      </w:r>
      <w:r>
        <w:rPr>
          <w:rFonts w:ascii="Times New Roman" w:cs="Times New Roman" w:hAnsi="Times New Roman" w:eastAsia="Times New Roman"/>
          <w:u w:color="000000"/>
        </w:rPr>
        <w:instrText xml:space="preserve"> HYPERLINK "https://doi.org/10.1016/j.palaeo.2014.04.012"</w:instrText>
      </w:r>
      <w:r>
        <w:rPr>
          <w:rFonts w:ascii="Times New Roman" w:cs="Times New Roman" w:hAnsi="Times New Roman" w:eastAsia="Times New Roman"/>
          <w:u w:color="000000"/>
        </w:rPr>
        <w:fldChar w:fldCharType="separate" w:fldLock="0"/>
      </w:r>
      <w:r>
        <w:rPr>
          <w:rFonts w:ascii="Times New Roman" w:hAnsi="Times New Roman"/>
          <w:u w:color="000000"/>
          <w:rtl w:val="0"/>
          <w:lang w:val="en-US"/>
        </w:rPr>
        <w:t>https://doi.org/10.1016/j.palaeo.2014.04.012</w:t>
      </w:r>
      <w:r>
        <w:rPr>
          <w:rFonts w:ascii="Times New Roman" w:cs="Times New Roman" w:hAnsi="Times New Roman" w:eastAsia="Times New Roman"/>
          <w:u w:color="000000"/>
        </w:rPr>
        <w:fldChar w:fldCharType="end" w:fldLock="0"/>
      </w:r>
      <w:r>
        <w:rPr>
          <w:rFonts w:ascii="Times New Roman" w:hAnsi="Times New Roman"/>
          <w:u w:color="000000"/>
          <w:rtl w:val="0"/>
          <w:lang w:val="en-US"/>
        </w:rPr>
        <w:t>, 2014.</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Style w:val="None"/>
          <w:rFonts w:ascii="Times New Roman" w:cs="Times New Roman" w:hAnsi="Times New Roman" w:eastAsia="Times New Roman"/>
          <w:b w:val="1"/>
          <w:bCs w:val="1"/>
          <w:u w:color="000000"/>
        </w:rPr>
      </w:pPr>
      <w:r>
        <w:rPr>
          <w:rFonts w:ascii="Times New Roman" w:hAnsi="Times New Roman"/>
          <w:u w:color="000000"/>
          <w:rtl w:val="0"/>
          <w:lang w:val="en-US"/>
        </w:rPr>
        <w:t>Channell, J. E. T., Galeotti, S., Martin, E.E., Billups, K., Scher, H.D., and Stoner, J.S. Eocene to Miocene magnetostratigraphy, biostratigraphy and chemostratigraphy at ODP Site 1090 (sub-Antarctic South Atlantic), Geol. Soc. Am. Bull., 115, 607</w:t>
      </w:r>
      <w:r>
        <w:rPr>
          <w:rFonts w:ascii="Times New Roman" w:hAnsi="Times New Roman" w:hint="default"/>
          <w:u w:color="000000"/>
          <w:rtl w:val="0"/>
          <w:lang w:val="en-US"/>
        </w:rPr>
        <w:t>–</w:t>
      </w:r>
      <w:r>
        <w:rPr>
          <w:rFonts w:ascii="Times New Roman" w:hAnsi="Times New Roman"/>
          <w:u w:color="000000"/>
          <w:rtl w:val="0"/>
          <w:lang w:val="en-US"/>
        </w:rPr>
        <w:t>623, 2003.</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Style w:val="None"/>
          <w:rFonts w:ascii="Times New Roman" w:cs="Times New Roman" w:hAnsi="Times New Roman" w:eastAsia="Times New Roman"/>
          <w:b w:val="1"/>
          <w:bCs w:val="1"/>
          <w:u w:color="000000"/>
        </w:rPr>
      </w:pPr>
      <w:r>
        <w:rPr>
          <w:rFonts w:ascii="Times New Roman" w:hAnsi="Times New Roman"/>
          <w:u w:color="000000"/>
          <w:rtl w:val="0"/>
          <w:lang w:val="en-US"/>
        </w:rPr>
        <w:t xml:space="preserve">Doria, G., </w:t>
      </w:r>
      <w:r>
        <w:rPr>
          <w:rFonts w:ascii="Times New Roman" w:cs="Times New Roman" w:hAnsi="Times New Roman" w:eastAsia="Times New Roman"/>
          <w:u w:color="000000"/>
        </w:rPr>
        <w:fldChar w:fldCharType="begin" w:fldLock="0"/>
      </w:r>
      <w:r>
        <w:rPr>
          <w:rFonts w:ascii="Times New Roman" w:cs="Times New Roman" w:hAnsi="Times New Roman" w:eastAsia="Times New Roman"/>
          <w:u w:color="000000"/>
        </w:rPr>
        <w:instrText xml:space="preserve"> HYPERLINK "http://orcid.org/0000-0003-0976-953X"</w:instrText>
      </w:r>
      <w:r>
        <w:rPr>
          <w:rFonts w:ascii="Times New Roman" w:cs="Times New Roman" w:hAnsi="Times New Roman" w:eastAsia="Times New Roman"/>
          <w:u w:color="000000"/>
        </w:rPr>
        <w:fldChar w:fldCharType="separate" w:fldLock="0"/>
      </w:r>
      <w:r>
        <w:rPr>
          <w:rFonts w:ascii="Times New Roman" w:hAnsi="Times New Roman"/>
          <w:u w:color="000000"/>
          <w:rtl w:val="0"/>
          <w:lang w:val="en-US"/>
        </w:rPr>
        <w:t>Royer, D. L.</w:t>
      </w:r>
      <w:r>
        <w:rPr>
          <w:rFonts w:ascii="Times New Roman" w:cs="Times New Roman" w:hAnsi="Times New Roman" w:eastAsia="Times New Roman"/>
          <w:u w:color="000000"/>
        </w:rPr>
        <w:fldChar w:fldCharType="end" w:fldLock="0"/>
      </w:r>
      <w:r>
        <w:rPr>
          <w:rFonts w:ascii="Times New Roman" w:hAnsi="Times New Roman"/>
          <w:u w:color="000000"/>
          <w:rtl w:val="0"/>
          <w:lang w:val="en-US"/>
        </w:rPr>
        <w:t xml:space="preserve">, Wolfe, A. P.,Fox, A., Westgate, J. A., &amp; Beerling, D. J. </w:t>
      </w:r>
      <w:r>
        <w:rPr>
          <w:rStyle w:val="Hyperlink.1"/>
          <w:rFonts w:ascii="Times New Roman" w:cs="Times New Roman" w:hAnsi="Times New Roman" w:eastAsia="Times New Roman"/>
          <w:outline w:val="0"/>
          <w:color w:val="0000ff"/>
          <w:u w:val="single" w:color="ffffff"/>
          <w14:textFill>
            <w14:solidFill>
              <w14:srgbClr w14:val="0000FF"/>
            </w14:solidFill>
          </w14:textFill>
        </w:rPr>
        <w:fldChar w:fldCharType="begin" w:fldLock="0"/>
      </w:r>
      <w:r>
        <w:rPr>
          <w:rStyle w:val="Hyperlink.1"/>
          <w:rFonts w:ascii="Times New Roman" w:cs="Times New Roman" w:hAnsi="Times New Roman" w:eastAsia="Times New Roman"/>
          <w:outline w:val="0"/>
          <w:color w:val="0000ff"/>
          <w:u w:val="single" w:color="ffffff"/>
          <w14:textFill>
            <w14:solidFill>
              <w14:srgbClr w14:val="0000FF"/>
            </w14:solidFill>
          </w14:textFill>
        </w:rPr>
        <w:instrText xml:space="preserve"> HYPERLINK "https://doi.org/10.2475/01.2011.03"</w:instrText>
      </w:r>
      <w:r>
        <w:rPr>
          <w:rStyle w:val="Hyperlink.1"/>
          <w:rFonts w:ascii="Times New Roman" w:cs="Times New Roman" w:hAnsi="Times New Roman" w:eastAsia="Times New Roman"/>
          <w:outline w:val="0"/>
          <w:color w:val="0000ff"/>
          <w:u w:val="single" w:color="ffffff"/>
          <w14:textFill>
            <w14:solidFill>
              <w14:srgbClr w14:val="0000FF"/>
            </w14:solidFill>
          </w14:textFill>
        </w:rPr>
        <w:fldChar w:fldCharType="separate" w:fldLock="0"/>
      </w:r>
      <w:r>
        <w:rPr>
          <w:rStyle w:val="Hyperlink.1"/>
          <w:rFonts w:ascii="Times New Roman" w:hAnsi="Times New Roman"/>
          <w:outline w:val="0"/>
          <w:color w:val="0000ff"/>
          <w:u w:val="single" w:color="ffffff"/>
          <w:rtl w:val="0"/>
          <w:lang w:val="en-US"/>
          <w14:textFill>
            <w14:solidFill>
              <w14:srgbClr w14:val="0000FF"/>
            </w14:solidFill>
          </w14:textFill>
        </w:rPr>
        <w:t>Declining atmospheric CO</w:t>
      </w:r>
      <w:r>
        <w:rPr>
          <w:rStyle w:val="Hyperlink.1"/>
          <w:rFonts w:ascii="Arial Unicode MS" w:cs="Arial Unicode MS" w:hAnsi="Arial Unicode MS" w:eastAsia="Arial Unicode MS" w:hint="default"/>
          <w:b w:val="0"/>
          <w:bCs w:val="0"/>
          <w:i w:val="0"/>
          <w:iCs w:val="0"/>
          <w:outline w:val="0"/>
          <w:color w:val="0000ff"/>
          <w:u w:val="single" w:color="ffffff"/>
          <w:rtl w:val="0"/>
          <w:lang w:val="en-US"/>
          <w14:textFill>
            <w14:solidFill>
              <w14:srgbClr w14:val="0000FF"/>
            </w14:solidFill>
          </w14:textFill>
        </w:rPr>
        <w:t>₂</w:t>
      </w:r>
      <w:r>
        <w:rPr>
          <w:rStyle w:val="Hyperlink.1"/>
          <w:rFonts w:ascii="Times New Roman" w:hAnsi="Times New Roman"/>
          <w:outline w:val="0"/>
          <w:color w:val="0000ff"/>
          <w:u w:val="single" w:color="ffffff"/>
          <w:rtl w:val="0"/>
          <w:lang w:val="en-US"/>
          <w14:textFill>
            <w14:solidFill>
              <w14:srgbClr w14:val="0000FF"/>
            </w14:solidFill>
          </w14:textFill>
        </w:rPr>
        <w:t xml:space="preserve"> </w:t>
      </w:r>
      <w:r>
        <w:rPr>
          <w:rStyle w:val="Hyperlink.1"/>
          <w:rFonts w:ascii="Times New Roman" w:hAnsi="Times New Roman"/>
          <w:outline w:val="0"/>
          <w:color w:val="0000ff"/>
          <w:u w:val="single" w:color="ffffff"/>
          <w:rtl w:val="0"/>
          <w:lang w:val="en-US"/>
          <w14:textFill>
            <w14:solidFill>
              <w14:srgbClr w14:val="0000FF"/>
            </w14:solidFill>
          </w14:textFill>
        </w:rPr>
        <w:t>during the late Middle Eocene climate transition</w:t>
      </w:r>
      <w:r>
        <w:rPr>
          <w:rFonts w:ascii="Times New Roman" w:cs="Times New Roman" w:hAnsi="Times New Roman" w:eastAsia="Times New Roman"/>
          <w:u w:color="000000"/>
        </w:rPr>
        <w:fldChar w:fldCharType="end" w:fldLock="0"/>
      </w:r>
      <w:r>
        <w:rPr>
          <w:rFonts w:ascii="Times New Roman" w:hAnsi="Times New Roman"/>
          <w:u w:color="000000"/>
          <w:rtl w:val="0"/>
          <w:lang w:val="en-US"/>
        </w:rPr>
        <w:t xml:space="preserve">. </w:t>
      </w:r>
      <w:r>
        <w:rPr>
          <w:rStyle w:val="None"/>
          <w:rFonts w:ascii="Times New Roman" w:hAnsi="Times New Roman"/>
          <w:i w:val="1"/>
          <w:iCs w:val="1"/>
          <w:u w:color="000000"/>
          <w:rtl w:val="0"/>
          <w:lang w:val="en-US"/>
        </w:rPr>
        <w:t>American Journal of Science, 311(1), 63-75.</w:t>
      </w:r>
      <w:r>
        <w:rPr>
          <w:rFonts w:ascii="Times New Roman" w:hAnsi="Times New Roman"/>
          <w:u w:color="000000"/>
          <w:rtl w:val="0"/>
          <w:lang w:val="en-US"/>
        </w:rPr>
        <w:t xml:space="preserve"> </w:t>
      </w:r>
      <w:r>
        <w:rPr>
          <w:rFonts w:ascii="Times New Roman" w:cs="Times New Roman" w:hAnsi="Times New Roman" w:eastAsia="Times New Roman"/>
          <w:u w:color="000000"/>
        </w:rPr>
        <w:fldChar w:fldCharType="begin" w:fldLock="0"/>
      </w:r>
      <w:r>
        <w:rPr>
          <w:rFonts w:ascii="Times New Roman" w:cs="Times New Roman" w:hAnsi="Times New Roman" w:eastAsia="Times New Roman"/>
          <w:u w:color="000000"/>
        </w:rPr>
        <w:instrText xml:space="preserve"> HYPERLINK "https://doi.org/10.2475/01.2011.03"</w:instrText>
      </w:r>
      <w:r>
        <w:rPr>
          <w:rFonts w:ascii="Times New Roman" w:cs="Times New Roman" w:hAnsi="Times New Roman" w:eastAsia="Times New Roman"/>
          <w:u w:color="000000"/>
        </w:rPr>
        <w:fldChar w:fldCharType="separate" w:fldLock="0"/>
      </w:r>
      <w:r>
        <w:rPr>
          <w:rFonts w:ascii="Times New Roman" w:hAnsi="Times New Roman"/>
          <w:u w:color="000000"/>
          <w:rtl w:val="0"/>
          <w:lang w:val="en-US"/>
        </w:rPr>
        <w:t>https://doi.org/10.2475/01.2011.03</w:t>
      </w:r>
      <w:r>
        <w:rPr>
          <w:rFonts w:ascii="Times New Roman" w:cs="Times New Roman" w:hAnsi="Times New Roman" w:eastAsia="Times New Roman"/>
          <w:u w:color="000000"/>
        </w:rPr>
        <w:fldChar w:fldCharType="end" w:fldLock="0"/>
      </w:r>
      <w:r>
        <w:rPr>
          <w:rFonts w:ascii="Times New Roman" w:hAnsi="Times New Roman"/>
          <w:u w:color="000000"/>
          <w:rtl w:val="0"/>
          <w:lang w:val="en-US"/>
        </w:rPr>
        <w:t>, 2011.</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Fonts w:ascii="Times New Roman" w:cs="Times New Roman" w:hAnsi="Times New Roman" w:eastAsia="Times New Roman"/>
          <w:u w:color="000000"/>
        </w:rPr>
      </w:pPr>
      <w:r>
        <w:rPr>
          <w:rFonts w:ascii="Times New Roman" w:hAnsi="Times New Roman"/>
          <w:u w:color="000000"/>
          <w:rtl w:val="0"/>
          <w:lang w:val="en-US"/>
        </w:rPr>
        <w:t xml:space="preserve">Erdei, B., Utescher, T., Hably, L., Roth-Nebelsick, A., &amp; Grein, M. </w:t>
      </w:r>
      <w:r>
        <w:rPr>
          <w:rStyle w:val="Hyperlink.1"/>
          <w:rFonts w:ascii="Times New Roman" w:cs="Times New Roman" w:hAnsi="Times New Roman" w:eastAsia="Times New Roman"/>
          <w:outline w:val="0"/>
          <w:color w:val="0000ff"/>
          <w:u w:val="single" w:color="ffffff"/>
          <w14:textFill>
            <w14:solidFill>
              <w14:srgbClr w14:val="0000FF"/>
            </w14:solidFill>
          </w14:textFill>
        </w:rPr>
        <w:fldChar w:fldCharType="begin" w:fldLock="0"/>
      </w:r>
      <w:r>
        <w:rPr>
          <w:rStyle w:val="Hyperlink.1"/>
          <w:rFonts w:ascii="Times New Roman" w:cs="Times New Roman" w:hAnsi="Times New Roman" w:eastAsia="Times New Roman"/>
          <w:outline w:val="0"/>
          <w:color w:val="0000ff"/>
          <w:u w:val="single" w:color="ffffff"/>
          <w14:textFill>
            <w14:solidFill>
              <w14:srgbClr w14:val="0000FF"/>
            </w14:solidFill>
          </w14:textFill>
        </w:rPr>
        <w:instrText xml:space="preserve"> HYPERLINK "https://doi.org/10.3906/yer-1005-29"</w:instrText>
      </w:r>
      <w:r>
        <w:rPr>
          <w:rStyle w:val="Hyperlink.1"/>
          <w:rFonts w:ascii="Times New Roman" w:cs="Times New Roman" w:hAnsi="Times New Roman" w:eastAsia="Times New Roman"/>
          <w:outline w:val="0"/>
          <w:color w:val="0000ff"/>
          <w:u w:val="single" w:color="ffffff"/>
          <w14:textFill>
            <w14:solidFill>
              <w14:srgbClr w14:val="0000FF"/>
            </w14:solidFill>
          </w14:textFill>
        </w:rPr>
        <w:fldChar w:fldCharType="separate" w:fldLock="0"/>
      </w:r>
      <w:r>
        <w:rPr>
          <w:rStyle w:val="Hyperlink.1"/>
          <w:rFonts w:ascii="Times New Roman" w:hAnsi="Times New Roman"/>
          <w:outline w:val="0"/>
          <w:color w:val="0000ff"/>
          <w:u w:val="single" w:color="ffffff"/>
          <w:rtl w:val="0"/>
          <w:lang w:val="en-US"/>
          <w14:textFill>
            <w14:solidFill>
              <w14:srgbClr w14:val="0000FF"/>
            </w14:solidFill>
          </w14:textFill>
        </w:rPr>
        <w:t>Early Oligocene Continental Climate of the Palaeogene Basin (Hungary and Slovenia) and the Surrounding Area</w:t>
      </w:r>
      <w:r>
        <w:rPr>
          <w:rFonts w:ascii="Times New Roman" w:cs="Times New Roman" w:hAnsi="Times New Roman" w:eastAsia="Times New Roman"/>
          <w:u w:color="000000"/>
        </w:rPr>
        <w:fldChar w:fldCharType="end" w:fldLock="0"/>
      </w:r>
      <w:r>
        <w:rPr>
          <w:rFonts w:ascii="Times New Roman" w:hAnsi="Times New Roman"/>
          <w:u w:color="000000"/>
          <w:rtl w:val="0"/>
          <w:lang w:val="en-US"/>
        </w:rPr>
        <w:t xml:space="preserve">. </w:t>
      </w:r>
      <w:r>
        <w:rPr>
          <w:rStyle w:val="None"/>
          <w:rFonts w:ascii="Times New Roman" w:hAnsi="Times New Roman"/>
          <w:i w:val="1"/>
          <w:iCs w:val="1"/>
          <w:u w:color="000000"/>
          <w:rtl w:val="0"/>
          <w:lang w:val="en-US"/>
        </w:rPr>
        <w:t>Turkish Journal of Earth Sciences, 21</w:t>
      </w:r>
      <w:r>
        <w:rPr>
          <w:rFonts w:ascii="Times New Roman" w:hAnsi="Times New Roman"/>
          <w:u w:color="000000"/>
          <w:rtl w:val="0"/>
          <w:lang w:val="en-US"/>
        </w:rPr>
        <w:t xml:space="preserve">, 153-186. </w:t>
      </w:r>
      <w:r>
        <w:rPr>
          <w:rFonts w:ascii="Times New Roman" w:cs="Times New Roman" w:hAnsi="Times New Roman" w:eastAsia="Times New Roman"/>
          <w:u w:color="000000"/>
        </w:rPr>
        <w:fldChar w:fldCharType="begin" w:fldLock="0"/>
      </w:r>
      <w:r>
        <w:rPr>
          <w:rFonts w:ascii="Times New Roman" w:cs="Times New Roman" w:hAnsi="Times New Roman" w:eastAsia="Times New Roman"/>
          <w:u w:color="000000"/>
        </w:rPr>
        <w:instrText xml:space="preserve"> HYPERLINK "https://doi.org/10.3906/yer-1005-29"</w:instrText>
      </w:r>
      <w:r>
        <w:rPr>
          <w:rFonts w:ascii="Times New Roman" w:cs="Times New Roman" w:hAnsi="Times New Roman" w:eastAsia="Times New Roman"/>
          <w:u w:color="000000"/>
        </w:rPr>
        <w:fldChar w:fldCharType="separate" w:fldLock="0"/>
      </w:r>
      <w:r>
        <w:rPr>
          <w:rFonts w:ascii="Times New Roman" w:hAnsi="Times New Roman"/>
          <w:u w:color="000000"/>
          <w:rtl w:val="0"/>
          <w:lang w:val="en-US"/>
        </w:rPr>
        <w:t>https://doi.org/10.3906/yer-1005-29</w:t>
      </w:r>
      <w:r>
        <w:rPr>
          <w:rFonts w:ascii="Times New Roman" w:cs="Times New Roman" w:hAnsi="Times New Roman" w:eastAsia="Times New Roman"/>
          <w:u w:color="000000"/>
        </w:rPr>
        <w:fldChar w:fldCharType="end" w:fldLock="0"/>
      </w:r>
      <w:r>
        <w:rPr>
          <w:rFonts w:ascii="Times New Roman" w:hAnsi="Times New Roman"/>
          <w:u w:color="000000"/>
          <w:rtl w:val="0"/>
          <w:lang w:val="en-US"/>
        </w:rPr>
        <w:t>, 2012.</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Fonts w:ascii="Times New Roman" w:cs="Times New Roman" w:hAnsi="Times New Roman" w:eastAsia="Times New Roman"/>
          <w:u w:color="000000"/>
        </w:rPr>
      </w:pPr>
      <w:r>
        <w:rPr>
          <w:rFonts w:ascii="Times New Roman" w:hAnsi="Times New Roman"/>
          <w:u w:color="000000"/>
          <w:rtl w:val="0"/>
          <w:lang w:val="en-US"/>
        </w:rPr>
        <w:t xml:space="preserve">Ekart, D. D. </w:t>
      </w:r>
      <w:r>
        <w:rPr>
          <w:rStyle w:val="Hyperlink.1"/>
          <w:rFonts w:ascii="Times New Roman" w:cs="Times New Roman" w:hAnsi="Times New Roman" w:eastAsia="Times New Roman"/>
          <w:outline w:val="0"/>
          <w:color w:val="0000ff"/>
          <w:u w:val="single" w:color="ffffff"/>
          <w14:textFill>
            <w14:solidFill>
              <w14:srgbClr w14:val="0000FF"/>
            </w14:solidFill>
          </w14:textFill>
        </w:rPr>
        <w:fldChar w:fldCharType="begin" w:fldLock="0"/>
      </w:r>
      <w:r>
        <w:rPr>
          <w:rStyle w:val="Hyperlink.1"/>
          <w:rFonts w:ascii="Times New Roman" w:cs="Times New Roman" w:hAnsi="Times New Roman" w:eastAsia="Times New Roman"/>
          <w:outline w:val="0"/>
          <w:color w:val="0000ff"/>
          <w:u w:val="single" w:color="ffffff"/>
          <w14:textFill>
            <w14:solidFill>
              <w14:srgbClr w14:val="0000FF"/>
            </w14:solidFill>
          </w14:textFill>
        </w:rPr>
        <w:instrText xml:space="preserve"> HYPERLINK "https://doi.org/10.2475/ajs.299.10.805"</w:instrText>
      </w:r>
      <w:r>
        <w:rPr>
          <w:rStyle w:val="Hyperlink.1"/>
          <w:rFonts w:ascii="Times New Roman" w:cs="Times New Roman" w:hAnsi="Times New Roman" w:eastAsia="Times New Roman"/>
          <w:outline w:val="0"/>
          <w:color w:val="0000ff"/>
          <w:u w:val="single" w:color="ffffff"/>
          <w14:textFill>
            <w14:solidFill>
              <w14:srgbClr w14:val="0000FF"/>
            </w14:solidFill>
          </w14:textFill>
        </w:rPr>
        <w:fldChar w:fldCharType="separate" w:fldLock="0"/>
      </w:r>
      <w:r>
        <w:rPr>
          <w:rStyle w:val="Hyperlink.1"/>
          <w:rFonts w:ascii="Times New Roman" w:hAnsi="Times New Roman"/>
          <w:outline w:val="0"/>
          <w:color w:val="0000ff"/>
          <w:u w:val="single" w:color="ffffff"/>
          <w:rtl w:val="0"/>
          <w:lang w:val="en-US"/>
          <w14:textFill>
            <w14:solidFill>
              <w14:srgbClr w14:val="0000FF"/>
            </w14:solidFill>
          </w14:textFill>
        </w:rPr>
        <w:t>A 400 million year carbon isotope record of pedogenic carbonate; implications for paleoatomospheric carbon dioxide</w:t>
      </w:r>
      <w:r>
        <w:rPr>
          <w:rFonts w:ascii="Times New Roman" w:cs="Times New Roman" w:hAnsi="Times New Roman" w:eastAsia="Times New Roman"/>
          <w:u w:color="000000"/>
        </w:rPr>
        <w:fldChar w:fldCharType="end" w:fldLock="0"/>
      </w:r>
      <w:r>
        <w:rPr>
          <w:rFonts w:ascii="Times New Roman" w:hAnsi="Times New Roman"/>
          <w:u w:color="000000"/>
          <w:rtl w:val="0"/>
          <w:lang w:val="en-US"/>
        </w:rPr>
        <w:t xml:space="preserve">. </w:t>
      </w:r>
      <w:r>
        <w:rPr>
          <w:rStyle w:val="None"/>
          <w:rFonts w:ascii="Times New Roman" w:hAnsi="Times New Roman"/>
          <w:i w:val="1"/>
          <w:iCs w:val="1"/>
          <w:u w:color="000000"/>
          <w:rtl w:val="0"/>
          <w:lang w:val="en-US"/>
        </w:rPr>
        <w:t>American Journal of Science, 299</w:t>
      </w:r>
      <w:r>
        <w:rPr>
          <w:rStyle w:val="None"/>
          <w:rFonts w:ascii="Times New Roman" w:hAnsi="Times New Roman"/>
          <w:i w:val="1"/>
          <w:iCs w:val="1"/>
          <w:u w:color="000000"/>
          <w:rtl w:val="0"/>
          <w:lang w:val="de-DE"/>
        </w:rPr>
        <w:t xml:space="preserve"> </w:t>
      </w:r>
      <w:r>
        <w:rPr>
          <w:rFonts w:ascii="Times New Roman" w:hAnsi="Times New Roman"/>
          <w:u w:color="000000"/>
          <w:rtl w:val="0"/>
          <w:lang w:val="en-US"/>
        </w:rPr>
        <w:t>(10), 805-827.</w:t>
      </w:r>
      <w:r>
        <w:rPr>
          <w:rFonts w:ascii="Times New Roman" w:cs="Times New Roman" w:hAnsi="Times New Roman" w:eastAsia="Times New Roman"/>
          <w:u w:color="000000"/>
        </w:rPr>
        <w:fldChar w:fldCharType="begin" w:fldLock="0"/>
      </w:r>
      <w:r>
        <w:rPr>
          <w:rFonts w:ascii="Times New Roman" w:cs="Times New Roman" w:hAnsi="Times New Roman" w:eastAsia="Times New Roman"/>
          <w:u w:color="000000"/>
        </w:rPr>
        <w:instrText xml:space="preserve"> HYPERLINK "https://doi.org/10.2475/ajs.299.10.805"</w:instrText>
      </w:r>
      <w:r>
        <w:rPr>
          <w:rFonts w:ascii="Times New Roman" w:cs="Times New Roman" w:hAnsi="Times New Roman" w:eastAsia="Times New Roman"/>
          <w:u w:color="000000"/>
        </w:rPr>
        <w:fldChar w:fldCharType="separate" w:fldLock="0"/>
      </w:r>
      <w:r>
        <w:rPr>
          <w:rFonts w:ascii="Times New Roman" w:hAnsi="Times New Roman"/>
          <w:u w:color="000000"/>
          <w:rtl w:val="0"/>
          <w:lang w:val="en-US"/>
        </w:rPr>
        <w:t>https://doi.org/10.2475/ajs.299.10.805</w:t>
      </w:r>
      <w:r>
        <w:rPr>
          <w:rFonts w:ascii="Times New Roman" w:cs="Times New Roman" w:hAnsi="Times New Roman" w:eastAsia="Times New Roman"/>
          <w:u w:color="000000"/>
        </w:rPr>
        <w:fldChar w:fldCharType="end" w:fldLock="0"/>
      </w:r>
      <w:r>
        <w:rPr>
          <w:rFonts w:ascii="Times New Roman" w:hAnsi="Times New Roman"/>
          <w:u w:color="000000"/>
          <w:rtl w:val="0"/>
          <w:lang w:val="en-US"/>
        </w:rPr>
        <w:t>, 1999.</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Style w:val="None"/>
          <w:rFonts w:ascii="Times New Roman" w:cs="Times New Roman" w:hAnsi="Times New Roman" w:eastAsia="Times New Roman"/>
          <w:b w:val="1"/>
          <w:bCs w:val="1"/>
          <w:u w:color="000000"/>
        </w:rPr>
      </w:pPr>
      <w:r>
        <w:rPr>
          <w:rFonts w:ascii="Times New Roman" w:hAnsi="Times New Roman"/>
          <w:u w:color="000000"/>
          <w:rtl w:val="0"/>
          <w:lang w:val="en-US"/>
        </w:rPr>
        <w:t>Florindo, F. and Roberts, A. P. Eocene-Oligocene magnetobiochronology of ODP Sites 689 and 690, Maud Rise, Weddell Sea, Antarctica. Geological Society of America Bulletin, 117(1), 46</w:t>
      </w:r>
      <w:r>
        <w:rPr>
          <w:rFonts w:ascii="Times New Roman" w:hAnsi="Times New Roman" w:hint="default"/>
          <w:u w:color="000000"/>
          <w:rtl w:val="0"/>
          <w:lang w:val="en-US"/>
        </w:rPr>
        <w:t>–</w:t>
      </w:r>
      <w:r>
        <w:rPr>
          <w:rFonts w:ascii="Times New Roman" w:hAnsi="Times New Roman"/>
          <w:u w:color="000000"/>
          <w:rtl w:val="0"/>
          <w:lang w:val="en-US"/>
        </w:rPr>
        <w:t>. doi:10.1130/b25541.1, 2005</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83" w:hanging="283"/>
        <w:jc w:val="both"/>
        <w:rPr>
          <w:rStyle w:val="None"/>
          <w:rFonts w:ascii="Times New Roman" w:cs="Times New Roman" w:hAnsi="Times New Roman" w:eastAsia="Times New Roman"/>
          <w:u w:color="000000"/>
        </w:rPr>
      </w:pPr>
      <w:r>
        <w:rPr>
          <w:rFonts w:ascii="Times New Roman" w:hAnsi="Times New Roman"/>
          <w:rtl w:val="0"/>
          <w:lang w:val="en-US"/>
        </w:rPr>
        <w:t xml:space="preserve">Grein, M., Oehm, C., Konrad, W., Utescher, T., Kunzmann, L., and Roth-Nebelsick, A.: Atmospheric CO2 from the late Oligocene to early Miocene based on photosynthesis data and fossil leaf characteristics, </w:t>
      </w:r>
      <w:r>
        <w:rPr>
          <w:rStyle w:val="None"/>
          <w:rFonts w:ascii="Times New Roman" w:hAnsi="Times New Roman"/>
          <w:i w:val="1"/>
          <w:iCs w:val="1"/>
          <w:rtl w:val="0"/>
          <w:lang w:val="en-US"/>
        </w:rPr>
        <w:t xml:space="preserve">Palaeogeography, Palaeoclimatology, Palaeoecology., 374, </w:t>
      </w:r>
      <w:r>
        <w:rPr>
          <w:rStyle w:val="None"/>
          <w:rFonts w:ascii="Times New Roman" w:hAnsi="Times New Roman"/>
          <w:i w:val="1"/>
          <w:iCs w:val="1"/>
          <w:u w:color="000000"/>
          <w:rtl w:val="0"/>
          <w:lang w:val="en-US"/>
        </w:rPr>
        <w:t>41</w:t>
      </w:r>
      <w:r>
        <w:rPr>
          <w:rStyle w:val="None"/>
          <w:rFonts w:ascii="Times New Roman" w:hAnsi="Times New Roman" w:hint="default"/>
          <w:i w:val="1"/>
          <w:iCs w:val="1"/>
          <w:u w:color="000000"/>
          <w:rtl w:val="0"/>
          <w:lang w:val="en-US"/>
        </w:rPr>
        <w:t>–</w:t>
      </w:r>
      <w:r>
        <w:rPr>
          <w:rStyle w:val="None"/>
          <w:rFonts w:ascii="Times New Roman" w:hAnsi="Times New Roman"/>
          <w:i w:val="1"/>
          <w:iCs w:val="1"/>
          <w:u w:color="000000"/>
          <w:rtl w:val="0"/>
          <w:lang w:val="en-US"/>
        </w:rPr>
        <w:t>51</w:t>
      </w:r>
      <w:r>
        <w:rPr>
          <w:rStyle w:val="None"/>
          <w:rFonts w:ascii="Times New Roman" w:hAnsi="Times New Roman"/>
          <w:u w:color="000000"/>
          <w:rtl w:val="0"/>
          <w:lang w:val="en-US"/>
        </w:rPr>
        <w:t>, https://doi.org/10.1016/j.palaeo.2012.12.025, 2013.</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Fonts w:ascii="Times New Roman" w:cs="Times New Roman" w:hAnsi="Times New Roman" w:eastAsia="Times New Roman"/>
          <w:u w:color="000000"/>
        </w:rPr>
      </w:pPr>
      <w:r>
        <w:rPr>
          <w:rFonts w:ascii="Times New Roman" w:hAnsi="Times New Roman"/>
          <w:u w:color="000000"/>
          <w:rtl w:val="0"/>
          <w:lang w:val="en-US"/>
        </w:rPr>
        <w:t xml:space="preserve">Henehan, M.; Edgar, K.M.; Foster, G.L., Penman, D.E.; Hull, P.M.; Greenop, R.; Anagnostou, E.; Pearson, P.N. Revisiting the Middle Eocene Climatic Optimum </w:t>
      </w:r>
      <w:r>
        <w:rPr>
          <w:rFonts w:ascii="Times New Roman" w:hAnsi="Times New Roman" w:hint="default"/>
          <w:u w:color="000000"/>
          <w:rtl w:val="0"/>
          <w:lang w:val="en-US"/>
        </w:rPr>
        <w:t>“</w:t>
      </w:r>
      <w:r>
        <w:rPr>
          <w:rFonts w:ascii="Times New Roman" w:hAnsi="Times New Roman"/>
          <w:u w:color="000000"/>
          <w:rtl w:val="0"/>
          <w:lang w:val="en-US"/>
        </w:rPr>
        <w:t>Carbon Cycle Conundrum</w:t>
      </w:r>
      <w:r>
        <w:rPr>
          <w:rFonts w:ascii="Times New Roman" w:hAnsi="Times New Roman" w:hint="default"/>
          <w:u w:color="000000"/>
          <w:rtl w:val="0"/>
          <w:lang w:val="en-US"/>
        </w:rPr>
        <w:t xml:space="preserve">” </w:t>
      </w:r>
      <w:r>
        <w:rPr>
          <w:rFonts w:ascii="Times New Roman" w:hAnsi="Times New Roman"/>
          <w:u w:color="000000"/>
          <w:rtl w:val="0"/>
          <w:lang w:val="en-US"/>
        </w:rPr>
        <w:t>with New Estimates of Atmospheric pCO</w:t>
      </w:r>
      <w:r>
        <w:rPr>
          <w:rStyle w:val="None"/>
          <w:rFonts w:ascii="Times New Roman" w:hAnsi="Times New Roman"/>
          <w:u w:color="000000"/>
          <w:vertAlign w:val="subscript"/>
          <w:rtl w:val="0"/>
          <w:lang w:val="en-US"/>
        </w:rPr>
        <w:t>2</w:t>
      </w:r>
      <w:r>
        <w:rPr>
          <w:rFonts w:ascii="Times New Roman" w:hAnsi="Times New Roman"/>
          <w:u w:color="000000"/>
          <w:rtl w:val="0"/>
          <w:lang w:val="en-US"/>
        </w:rPr>
        <w:t xml:space="preserve"> from Boron Isotopes. </w:t>
      </w:r>
      <w:r>
        <w:rPr>
          <w:rStyle w:val="None"/>
          <w:rFonts w:ascii="Times New Roman" w:hAnsi="Times New Roman"/>
          <w:i w:val="1"/>
          <w:iCs w:val="1"/>
          <w:u w:color="000000"/>
          <w:rtl w:val="0"/>
          <w:lang w:val="en-US"/>
        </w:rPr>
        <w:t>Paleoceanography and Paleoclimatology. 35(6)</w:t>
      </w:r>
      <w:r>
        <w:rPr>
          <w:rFonts w:ascii="Times New Roman" w:hAnsi="Times New Roman"/>
          <w:u w:color="000000"/>
          <w:rtl w:val="0"/>
          <w:lang w:val="en-US"/>
        </w:rPr>
        <w:t>.</w:t>
      </w:r>
      <w:r>
        <w:rPr>
          <w:rFonts w:ascii="Times New Roman" w:hAnsi="Times New Roman"/>
          <w:u w:color="000000"/>
          <w:rtl w:val="0"/>
          <w:lang w:val="de-DE"/>
        </w:rPr>
        <w:t xml:space="preserve"> </w:t>
      </w:r>
      <w:r>
        <w:rPr>
          <w:rFonts w:ascii="Times New Roman" w:hAnsi="Times New Roman"/>
          <w:u w:color="000000"/>
          <w:rtl w:val="0"/>
          <w:lang w:val="en-US"/>
        </w:rPr>
        <w:t>https://doi.org/10.1029/2019PA003713, 2020.</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Style w:val="None"/>
          <w:rFonts w:ascii="Times New Roman" w:cs="Times New Roman" w:hAnsi="Times New Roman" w:eastAsia="Times New Roman"/>
          <w:b w:val="1"/>
          <w:bCs w:val="1"/>
          <w:u w:color="000000"/>
        </w:rPr>
      </w:pPr>
      <w:r>
        <w:rPr>
          <w:rFonts w:ascii="Times New Roman" w:cs="Times New Roman" w:hAnsi="Times New Roman" w:eastAsia="Times New Roman"/>
          <w:u w:color="000000"/>
        </w:rPr>
        <w:fldChar w:fldCharType="begin" w:fldLock="0"/>
      </w:r>
      <w:r>
        <w:rPr>
          <w:rFonts w:ascii="Times New Roman" w:cs="Times New Roman" w:hAnsi="Times New Roman" w:eastAsia="Times New Roman"/>
          <w:u w:color="000000"/>
        </w:rPr>
        <w:instrText xml:space="preserve"> HYPERLINK "http://orcid.org/0000-0002-7202-4525"</w:instrText>
      </w:r>
      <w:r>
        <w:rPr>
          <w:rFonts w:ascii="Times New Roman" w:cs="Times New Roman" w:hAnsi="Times New Roman" w:eastAsia="Times New Roman"/>
          <w:u w:color="000000"/>
        </w:rPr>
        <w:fldChar w:fldCharType="separate" w:fldLock="0"/>
      </w:r>
      <w:r>
        <w:rPr>
          <w:rFonts w:ascii="Times New Roman" w:hAnsi="Times New Roman"/>
          <w:u w:color="000000"/>
          <w:rtl w:val="0"/>
          <w:lang w:val="en-US"/>
        </w:rPr>
        <w:t>Kohn, M. J.</w:t>
      </w:r>
      <w:r>
        <w:rPr>
          <w:rFonts w:ascii="Times New Roman" w:cs="Times New Roman" w:hAnsi="Times New Roman" w:eastAsia="Times New Roman"/>
          <w:u w:color="000000"/>
        </w:rPr>
        <w:fldChar w:fldCharType="end" w:fldLock="0"/>
      </w:r>
      <w:r>
        <w:rPr>
          <w:rFonts w:ascii="Times New Roman" w:hAnsi="Times New Roman"/>
          <w:u w:color="000000"/>
          <w:rtl w:val="0"/>
          <w:lang w:val="en-US"/>
        </w:rPr>
        <w:t>, Str</w:t>
      </w:r>
      <w:r>
        <w:rPr>
          <w:rFonts w:ascii="Times New Roman" w:hAnsi="Times New Roman" w:hint="default"/>
          <w:u w:color="000000"/>
          <w:rtl w:val="0"/>
          <w:lang w:val="en-US"/>
        </w:rPr>
        <w:t>ö</w:t>
      </w:r>
      <w:r>
        <w:rPr>
          <w:rFonts w:ascii="Times New Roman" w:hAnsi="Times New Roman"/>
          <w:u w:color="000000"/>
          <w:rtl w:val="0"/>
          <w:lang w:val="en-US"/>
        </w:rPr>
        <w:t>mberg, C. A., Madden, R. H., Dunn, R. E., Evans, S., Palacios, A., &amp; Carlini, A. A.</w:t>
      </w:r>
      <w:r>
        <w:rPr>
          <w:rFonts w:ascii="Times New Roman" w:hAnsi="Times New Roman"/>
          <w:u w:color="000000"/>
          <w:rtl w:val="0"/>
          <w:lang w:val="de-DE"/>
        </w:rPr>
        <w:t xml:space="preserve"> </w:t>
      </w:r>
      <w:r>
        <w:rPr>
          <w:rStyle w:val="Hyperlink.1"/>
          <w:rFonts w:ascii="Times New Roman" w:cs="Times New Roman" w:hAnsi="Times New Roman" w:eastAsia="Times New Roman"/>
          <w:outline w:val="0"/>
          <w:color w:val="0000ff"/>
          <w:u w:val="single" w:color="ffffff"/>
          <w14:textFill>
            <w14:solidFill>
              <w14:srgbClr w14:val="0000FF"/>
            </w14:solidFill>
          </w14:textFill>
        </w:rPr>
        <w:fldChar w:fldCharType="begin" w:fldLock="0"/>
      </w:r>
      <w:r>
        <w:rPr>
          <w:rStyle w:val="Hyperlink.1"/>
          <w:rFonts w:ascii="Times New Roman" w:cs="Times New Roman" w:hAnsi="Times New Roman" w:eastAsia="Times New Roman"/>
          <w:outline w:val="0"/>
          <w:color w:val="0000ff"/>
          <w:u w:val="single" w:color="ffffff"/>
          <w14:textFill>
            <w14:solidFill>
              <w14:srgbClr w14:val="0000FF"/>
            </w14:solidFill>
          </w14:textFill>
        </w:rPr>
        <w:instrText xml:space="preserve"> HYPERLINK "https://doi.org/10.1016/j.palaeo.2015.05.028"</w:instrText>
      </w:r>
      <w:r>
        <w:rPr>
          <w:rStyle w:val="Hyperlink.1"/>
          <w:rFonts w:ascii="Times New Roman" w:cs="Times New Roman" w:hAnsi="Times New Roman" w:eastAsia="Times New Roman"/>
          <w:outline w:val="0"/>
          <w:color w:val="0000ff"/>
          <w:u w:val="single" w:color="ffffff"/>
          <w14:textFill>
            <w14:solidFill>
              <w14:srgbClr w14:val="0000FF"/>
            </w14:solidFill>
          </w14:textFill>
        </w:rPr>
        <w:fldChar w:fldCharType="separate" w:fldLock="0"/>
      </w:r>
      <w:r>
        <w:rPr>
          <w:rStyle w:val="Hyperlink.1"/>
          <w:rFonts w:ascii="Times New Roman" w:hAnsi="Times New Roman"/>
          <w:outline w:val="0"/>
          <w:color w:val="0000ff"/>
          <w:u w:val="single" w:color="ffffff"/>
          <w:rtl w:val="0"/>
          <w:lang w:val="en-US"/>
          <w14:textFill>
            <w14:solidFill>
              <w14:srgbClr w14:val="0000FF"/>
            </w14:solidFill>
          </w14:textFill>
        </w:rPr>
        <w:t>Quasi-static Eocene</w:t>
      </w:r>
      <w:r>
        <w:rPr>
          <w:rStyle w:val="Hyperlink.1"/>
          <w:rFonts w:ascii="Times New Roman" w:hAnsi="Times New Roman" w:hint="default"/>
          <w:outline w:val="0"/>
          <w:color w:val="0000ff"/>
          <w:u w:val="single" w:color="ffffff"/>
          <w:rtl w:val="0"/>
          <w:lang w:val="en-US"/>
          <w14:textFill>
            <w14:solidFill>
              <w14:srgbClr w14:val="0000FF"/>
            </w14:solidFill>
          </w14:textFill>
        </w:rPr>
        <w:t>–</w:t>
      </w:r>
      <w:r>
        <w:rPr>
          <w:rStyle w:val="Hyperlink.1"/>
          <w:rFonts w:ascii="Times New Roman" w:hAnsi="Times New Roman"/>
          <w:outline w:val="0"/>
          <w:color w:val="0000ff"/>
          <w:u w:val="single" w:color="ffffff"/>
          <w:rtl w:val="0"/>
          <w:lang w:val="en-US"/>
          <w14:textFill>
            <w14:solidFill>
              <w14:srgbClr w14:val="0000FF"/>
            </w14:solidFill>
          </w14:textFill>
        </w:rPr>
        <w:t>Oligocene climate in Patagonia promotes slow faunal evolution and mid-Cenozoic global cooling</w:t>
      </w:r>
      <w:r>
        <w:rPr>
          <w:rFonts w:ascii="Times New Roman" w:cs="Times New Roman" w:hAnsi="Times New Roman" w:eastAsia="Times New Roman"/>
          <w:u w:color="000000"/>
        </w:rPr>
        <w:fldChar w:fldCharType="end" w:fldLock="0"/>
      </w:r>
      <w:r>
        <w:rPr>
          <w:rFonts w:ascii="Times New Roman" w:hAnsi="Times New Roman"/>
          <w:u w:color="000000"/>
          <w:rtl w:val="0"/>
          <w:lang w:val="en-US"/>
        </w:rPr>
        <w:t xml:space="preserve">. </w:t>
      </w:r>
      <w:r>
        <w:rPr>
          <w:rStyle w:val="None"/>
          <w:rFonts w:ascii="Times New Roman" w:hAnsi="Times New Roman"/>
          <w:i w:val="1"/>
          <w:iCs w:val="1"/>
          <w:u w:color="000000"/>
          <w:rtl w:val="0"/>
          <w:lang w:val="en-US"/>
        </w:rPr>
        <w:t>Palaeogeography, Palaeoclimatology, Palaeoecology, 435</w:t>
      </w:r>
      <w:r>
        <w:rPr>
          <w:rFonts w:ascii="Times New Roman" w:hAnsi="Times New Roman"/>
          <w:u w:color="000000"/>
          <w:rtl w:val="0"/>
          <w:lang w:val="en-US"/>
        </w:rPr>
        <w:t xml:space="preserve">, 24-37. </w:t>
      </w:r>
      <w:r>
        <w:rPr>
          <w:rFonts w:ascii="Times New Roman" w:cs="Times New Roman" w:hAnsi="Times New Roman" w:eastAsia="Times New Roman"/>
          <w:u w:color="000000"/>
        </w:rPr>
        <w:fldChar w:fldCharType="begin" w:fldLock="0"/>
      </w:r>
      <w:r>
        <w:rPr>
          <w:rFonts w:ascii="Times New Roman" w:cs="Times New Roman" w:hAnsi="Times New Roman" w:eastAsia="Times New Roman"/>
          <w:u w:color="000000"/>
        </w:rPr>
        <w:instrText xml:space="preserve"> HYPERLINK "https://doi.org/10.1016/j.palaeo.2015.05.028"</w:instrText>
      </w:r>
      <w:r>
        <w:rPr>
          <w:rFonts w:ascii="Times New Roman" w:cs="Times New Roman" w:hAnsi="Times New Roman" w:eastAsia="Times New Roman"/>
          <w:u w:color="000000"/>
        </w:rPr>
        <w:fldChar w:fldCharType="separate" w:fldLock="0"/>
      </w:r>
      <w:r>
        <w:rPr>
          <w:rFonts w:ascii="Times New Roman" w:hAnsi="Times New Roman"/>
          <w:u w:color="000000"/>
          <w:rtl w:val="0"/>
          <w:lang w:val="en-US"/>
        </w:rPr>
        <w:t>https://doi.org/10.1016/j.palaeo.2015.05.028</w:t>
      </w:r>
      <w:r>
        <w:rPr>
          <w:rFonts w:ascii="Times New Roman" w:cs="Times New Roman" w:hAnsi="Times New Roman" w:eastAsia="Times New Roman"/>
          <w:u w:color="000000"/>
        </w:rPr>
        <w:fldChar w:fldCharType="end" w:fldLock="0"/>
      </w:r>
      <w:r>
        <w:rPr>
          <w:rFonts w:ascii="Times New Roman" w:hAnsi="Times New Roman"/>
          <w:u w:color="000000"/>
          <w:rtl w:val="0"/>
          <w:lang w:val="en-US"/>
        </w:rPr>
        <w:t>, 2015.</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Fonts w:ascii="Times New Roman" w:cs="Times New Roman" w:hAnsi="Times New Roman" w:eastAsia="Times New Roman"/>
          <w:u w:color="000000"/>
        </w:rPr>
      </w:pPr>
      <w:r>
        <w:rPr>
          <w:rFonts w:ascii="Times New Roman" w:hAnsi="Times New Roman"/>
          <w:u w:color="000000"/>
          <w:rtl w:val="0"/>
          <w:lang w:val="en-US"/>
        </w:rPr>
        <w:t>K</w:t>
      </w:r>
      <w:r>
        <w:rPr>
          <w:rFonts w:ascii="Times New Roman" w:hAnsi="Times New Roman" w:hint="default"/>
          <w:u w:color="000000"/>
          <w:rtl w:val="0"/>
          <w:lang w:val="en-US"/>
        </w:rPr>
        <w:t>ü</w:t>
      </w:r>
      <w:r>
        <w:rPr>
          <w:rFonts w:ascii="Times New Roman" w:hAnsi="Times New Roman"/>
          <w:u w:color="000000"/>
          <w:rtl w:val="0"/>
          <w:lang w:val="en-US"/>
        </w:rPr>
        <w:t>rschner, W. M.,Kva</w:t>
      </w:r>
      <w:r>
        <w:rPr>
          <w:rFonts w:ascii="Times New Roman" w:hAnsi="Times New Roman" w:hint="default"/>
          <w:u w:color="000000"/>
          <w:rtl w:val="0"/>
          <w:lang w:val="en-US"/>
        </w:rPr>
        <w:t>č</w:t>
      </w:r>
      <w:r>
        <w:rPr>
          <w:rFonts w:ascii="Times New Roman" w:hAnsi="Times New Roman"/>
          <w:u w:color="000000"/>
          <w:rtl w:val="0"/>
          <w:lang w:val="en-US"/>
        </w:rPr>
        <w:t>ek, Z., &amp;Dilcher, D. L.</w:t>
      </w:r>
      <w:r>
        <w:rPr>
          <w:rStyle w:val="Hyperlink.1"/>
          <w:rFonts w:ascii="Times New Roman" w:cs="Times New Roman" w:hAnsi="Times New Roman" w:eastAsia="Times New Roman"/>
          <w:outline w:val="0"/>
          <w:color w:val="0000ff"/>
          <w:u w:val="single" w:color="ffffff"/>
          <w14:textFill>
            <w14:solidFill>
              <w14:srgbClr w14:val="0000FF"/>
            </w14:solidFill>
          </w14:textFill>
        </w:rPr>
        <w:fldChar w:fldCharType="begin" w:fldLock="0"/>
      </w:r>
      <w:r>
        <w:rPr>
          <w:rStyle w:val="Hyperlink.1"/>
          <w:rFonts w:ascii="Times New Roman" w:cs="Times New Roman" w:hAnsi="Times New Roman" w:eastAsia="Times New Roman"/>
          <w:outline w:val="0"/>
          <w:color w:val="0000ff"/>
          <w:u w:val="single" w:color="ffffff"/>
          <w14:textFill>
            <w14:solidFill>
              <w14:srgbClr w14:val="0000FF"/>
            </w14:solidFill>
          </w14:textFill>
        </w:rPr>
        <w:instrText xml:space="preserve"> HYPERLINK "https://doi.org/10.1073/pnas.0708588105"</w:instrText>
      </w:r>
      <w:r>
        <w:rPr>
          <w:rStyle w:val="Hyperlink.1"/>
          <w:rFonts w:ascii="Times New Roman" w:cs="Times New Roman" w:hAnsi="Times New Roman" w:eastAsia="Times New Roman"/>
          <w:outline w:val="0"/>
          <w:color w:val="0000ff"/>
          <w:u w:val="single" w:color="ffffff"/>
          <w14:textFill>
            <w14:solidFill>
              <w14:srgbClr w14:val="0000FF"/>
            </w14:solidFill>
          </w14:textFill>
        </w:rPr>
        <w:fldChar w:fldCharType="separate" w:fldLock="0"/>
      </w:r>
      <w:r>
        <w:rPr>
          <w:rStyle w:val="Hyperlink.1"/>
          <w:rFonts w:ascii="Times New Roman" w:hAnsi="Times New Roman"/>
          <w:outline w:val="0"/>
          <w:color w:val="0000ff"/>
          <w:u w:val="single" w:color="ffffff"/>
          <w:rtl w:val="0"/>
          <w:lang w:val="en-US"/>
          <w14:textFill>
            <w14:solidFill>
              <w14:srgbClr w14:val="0000FF"/>
            </w14:solidFill>
          </w14:textFill>
        </w:rPr>
        <w:t>The impact of Miocene atmospheric carbon dioxide fluctuations on climate and the evolution of terrestrial ecosystems</w:t>
      </w:r>
      <w:r>
        <w:rPr>
          <w:rFonts w:ascii="Times New Roman" w:cs="Times New Roman" w:hAnsi="Times New Roman" w:eastAsia="Times New Roman"/>
          <w:u w:color="000000"/>
        </w:rPr>
        <w:fldChar w:fldCharType="end" w:fldLock="0"/>
      </w:r>
      <w:r>
        <w:rPr>
          <w:rFonts w:ascii="Times New Roman" w:hAnsi="Times New Roman"/>
          <w:u w:color="000000"/>
          <w:rtl w:val="0"/>
          <w:lang w:val="en-US"/>
        </w:rPr>
        <w:t xml:space="preserve">. </w:t>
      </w:r>
      <w:r>
        <w:rPr>
          <w:rStyle w:val="None"/>
          <w:rFonts w:ascii="Times New Roman" w:hAnsi="Times New Roman"/>
          <w:i w:val="1"/>
          <w:iCs w:val="1"/>
          <w:u w:color="000000"/>
          <w:rtl w:val="0"/>
          <w:lang w:val="en-US"/>
        </w:rPr>
        <w:t>Proceedings of the National Academy of Sciences, 105</w:t>
      </w:r>
      <w:r>
        <w:rPr>
          <w:rFonts w:ascii="Times New Roman" w:hAnsi="Times New Roman"/>
          <w:u w:color="000000"/>
          <w:rtl w:val="0"/>
          <w:lang w:val="en-US"/>
        </w:rPr>
        <w:t>(2), 449-453.</w:t>
      </w:r>
      <w:r>
        <w:rPr>
          <w:rFonts w:ascii="Times New Roman" w:hAnsi="Times New Roman"/>
          <w:u w:color="000000"/>
          <w:rtl w:val="0"/>
          <w:lang w:val="de-DE"/>
        </w:rPr>
        <w:t xml:space="preserve"> </w:t>
      </w:r>
      <w:r>
        <w:rPr>
          <w:rFonts w:ascii="Times New Roman" w:cs="Times New Roman" w:hAnsi="Times New Roman" w:eastAsia="Times New Roman"/>
          <w:u w:color="000000"/>
        </w:rPr>
        <w:fldChar w:fldCharType="begin" w:fldLock="0"/>
      </w:r>
      <w:r>
        <w:rPr>
          <w:rFonts w:ascii="Times New Roman" w:cs="Times New Roman" w:hAnsi="Times New Roman" w:eastAsia="Times New Roman"/>
          <w:u w:color="000000"/>
        </w:rPr>
        <w:instrText xml:space="preserve"> HYPERLINK "https://doi.org/10.1073/pnas.0708588105"</w:instrText>
      </w:r>
      <w:r>
        <w:rPr>
          <w:rFonts w:ascii="Times New Roman" w:cs="Times New Roman" w:hAnsi="Times New Roman" w:eastAsia="Times New Roman"/>
          <w:u w:color="000000"/>
        </w:rPr>
        <w:fldChar w:fldCharType="separate" w:fldLock="0"/>
      </w:r>
      <w:r>
        <w:rPr>
          <w:rFonts w:ascii="Times New Roman" w:hAnsi="Times New Roman"/>
          <w:u w:color="000000"/>
          <w:rtl w:val="0"/>
          <w:lang w:val="en-US"/>
        </w:rPr>
        <w:t>https://doi.org/10.1073/pnas.0708588105</w:t>
      </w:r>
      <w:r>
        <w:rPr>
          <w:rFonts w:ascii="Times New Roman" w:cs="Times New Roman" w:hAnsi="Times New Roman" w:eastAsia="Times New Roman"/>
          <w:u w:color="000000"/>
        </w:rPr>
        <w:fldChar w:fldCharType="end" w:fldLock="0"/>
      </w:r>
      <w:r>
        <w:rPr>
          <w:rFonts w:ascii="Times New Roman" w:hAnsi="Times New Roman"/>
          <w:u w:color="000000"/>
          <w:rtl w:val="0"/>
          <w:lang w:val="en-US"/>
        </w:rPr>
        <w:t>, 2008.</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Fonts w:ascii="Times New Roman" w:cs="Times New Roman" w:hAnsi="Times New Roman" w:eastAsia="Times New Roman"/>
          <w:u w:color="000000"/>
        </w:rPr>
      </w:pPr>
      <w:r>
        <w:rPr>
          <w:rFonts w:ascii="Times New Roman" w:hAnsi="Times New Roman"/>
          <w:u w:color="000000"/>
          <w:rtl w:val="0"/>
          <w:lang w:val="de-DE"/>
        </w:rPr>
        <w:t>P</w:t>
      </w:r>
      <w:r>
        <w:rPr>
          <w:rFonts w:ascii="Times New Roman" w:hAnsi="Times New Roman"/>
          <w:u w:color="000000"/>
          <w:rtl w:val="0"/>
          <w:lang w:val="en-US"/>
        </w:rPr>
        <w:t xml:space="preserve">agani, M. </w:t>
      </w:r>
      <w:r>
        <w:rPr>
          <w:rStyle w:val="Hyperlink.1"/>
          <w:rFonts w:ascii="Times New Roman" w:cs="Times New Roman" w:hAnsi="Times New Roman" w:eastAsia="Times New Roman"/>
          <w:outline w:val="0"/>
          <w:color w:val="0000ff"/>
          <w:u w:val="single" w:color="ffffff"/>
          <w14:textFill>
            <w14:solidFill>
              <w14:srgbClr w14:val="0000FF"/>
            </w14:solidFill>
          </w14:textFill>
        </w:rPr>
        <w:fldChar w:fldCharType="begin" w:fldLock="0"/>
      </w:r>
      <w:r>
        <w:rPr>
          <w:rStyle w:val="Hyperlink.1"/>
          <w:rFonts w:ascii="Times New Roman" w:cs="Times New Roman" w:hAnsi="Times New Roman" w:eastAsia="Times New Roman"/>
          <w:outline w:val="0"/>
          <w:color w:val="0000ff"/>
          <w:u w:val="single" w:color="ffffff"/>
          <w14:textFill>
            <w14:solidFill>
              <w14:srgbClr w14:val="0000FF"/>
            </w14:solidFill>
          </w14:textFill>
        </w:rPr>
        <w:instrText xml:space="preserve"> HYPERLINK "https://doi.org/10.1126/science.285.5429.876"</w:instrText>
      </w:r>
      <w:r>
        <w:rPr>
          <w:rStyle w:val="Hyperlink.1"/>
          <w:rFonts w:ascii="Times New Roman" w:cs="Times New Roman" w:hAnsi="Times New Roman" w:eastAsia="Times New Roman"/>
          <w:outline w:val="0"/>
          <w:color w:val="0000ff"/>
          <w:u w:val="single" w:color="ffffff"/>
          <w14:textFill>
            <w14:solidFill>
              <w14:srgbClr w14:val="0000FF"/>
            </w14:solidFill>
          </w14:textFill>
        </w:rPr>
        <w:fldChar w:fldCharType="separate" w:fldLock="0"/>
      </w:r>
      <w:r>
        <w:rPr>
          <w:rStyle w:val="Hyperlink.1"/>
          <w:rFonts w:ascii="Times New Roman" w:hAnsi="Times New Roman"/>
          <w:outline w:val="0"/>
          <w:color w:val="0000ff"/>
          <w:u w:val="single" w:color="ffffff"/>
          <w:rtl w:val="0"/>
          <w:lang w:val="en-US"/>
          <w14:textFill>
            <w14:solidFill>
              <w14:srgbClr w14:val="0000FF"/>
            </w14:solidFill>
          </w14:textFill>
        </w:rPr>
        <w:t>Late Miocene Atmospheric CO</w:t>
      </w:r>
      <w:r>
        <w:rPr>
          <w:rStyle w:val="Hyperlink.1"/>
          <w:rFonts w:ascii="Arial Unicode MS" w:cs="Arial Unicode MS" w:hAnsi="Arial Unicode MS" w:eastAsia="Arial Unicode MS" w:hint="default"/>
          <w:b w:val="0"/>
          <w:bCs w:val="0"/>
          <w:i w:val="0"/>
          <w:iCs w:val="0"/>
          <w:outline w:val="0"/>
          <w:color w:val="0000ff"/>
          <w:u w:val="single" w:color="ffffff"/>
          <w:rtl w:val="0"/>
          <w:lang w:val="en-US"/>
          <w14:textFill>
            <w14:solidFill>
              <w14:srgbClr w14:val="0000FF"/>
            </w14:solidFill>
          </w14:textFill>
        </w:rPr>
        <w:t>₂</w:t>
      </w:r>
      <w:r>
        <w:rPr>
          <w:rStyle w:val="Hyperlink.1"/>
          <w:rFonts w:ascii="Times New Roman" w:hAnsi="Times New Roman"/>
          <w:outline w:val="0"/>
          <w:color w:val="0000ff"/>
          <w:u w:val="single" w:color="ffffff"/>
          <w:rtl w:val="0"/>
          <w:lang w:val="en-US"/>
          <w14:textFill>
            <w14:solidFill>
              <w14:srgbClr w14:val="0000FF"/>
            </w14:solidFill>
          </w14:textFill>
        </w:rPr>
        <w:t xml:space="preserve"> </w:t>
      </w:r>
      <w:r>
        <w:rPr>
          <w:rStyle w:val="Hyperlink.1"/>
          <w:rFonts w:ascii="Times New Roman" w:hAnsi="Times New Roman"/>
          <w:outline w:val="0"/>
          <w:color w:val="0000ff"/>
          <w:u w:val="single" w:color="ffffff"/>
          <w:rtl w:val="0"/>
          <w:lang w:val="en-US"/>
          <w14:textFill>
            <w14:solidFill>
              <w14:srgbClr w14:val="0000FF"/>
            </w14:solidFill>
          </w14:textFill>
        </w:rPr>
        <w:t>Concentrations and the Expansion of C4 Grasses</w:t>
      </w:r>
      <w:r>
        <w:rPr>
          <w:rFonts w:ascii="Times New Roman" w:cs="Times New Roman" w:hAnsi="Times New Roman" w:eastAsia="Times New Roman"/>
          <w:u w:color="000000"/>
        </w:rPr>
        <w:fldChar w:fldCharType="end" w:fldLock="0"/>
      </w:r>
      <w:r>
        <w:rPr>
          <w:rFonts w:ascii="Times New Roman" w:hAnsi="Times New Roman"/>
          <w:u w:color="000000"/>
          <w:rtl w:val="0"/>
          <w:lang w:val="en-US"/>
        </w:rPr>
        <w:t xml:space="preserve">. </w:t>
      </w:r>
      <w:r>
        <w:rPr>
          <w:rStyle w:val="None"/>
          <w:rFonts w:ascii="Times New Roman" w:hAnsi="Times New Roman"/>
          <w:i w:val="1"/>
          <w:iCs w:val="1"/>
          <w:u w:color="000000"/>
          <w:rtl w:val="0"/>
          <w:lang w:val="en-US"/>
        </w:rPr>
        <w:t>Science, 285</w:t>
      </w:r>
      <w:r>
        <w:rPr>
          <w:rFonts w:ascii="Times New Roman" w:hAnsi="Times New Roman"/>
          <w:u w:color="000000"/>
          <w:rtl w:val="0"/>
          <w:lang w:val="en-US"/>
        </w:rPr>
        <w:t>(5429), 876-879.</w:t>
      </w:r>
      <w:r>
        <w:rPr>
          <w:rFonts w:ascii="Times New Roman" w:hAnsi="Times New Roman"/>
          <w:u w:color="000000"/>
          <w:rtl w:val="0"/>
          <w:lang w:val="de-DE"/>
        </w:rPr>
        <w:t xml:space="preserve"> </w:t>
      </w:r>
      <w:r>
        <w:rPr>
          <w:rFonts w:ascii="Times New Roman" w:cs="Times New Roman" w:hAnsi="Times New Roman" w:eastAsia="Times New Roman"/>
          <w:u w:color="000000"/>
        </w:rPr>
        <w:fldChar w:fldCharType="begin" w:fldLock="0"/>
      </w:r>
      <w:r>
        <w:rPr>
          <w:rFonts w:ascii="Times New Roman" w:cs="Times New Roman" w:hAnsi="Times New Roman" w:eastAsia="Times New Roman"/>
          <w:u w:color="000000"/>
        </w:rPr>
        <w:instrText xml:space="preserve"> HYPERLINK "https://doi.org/10.1126/science.285.5429.876"</w:instrText>
      </w:r>
      <w:r>
        <w:rPr>
          <w:rFonts w:ascii="Times New Roman" w:cs="Times New Roman" w:hAnsi="Times New Roman" w:eastAsia="Times New Roman"/>
          <w:u w:color="000000"/>
        </w:rPr>
        <w:fldChar w:fldCharType="separate" w:fldLock="0"/>
      </w:r>
      <w:r>
        <w:rPr>
          <w:rFonts w:ascii="Times New Roman" w:hAnsi="Times New Roman"/>
          <w:u w:color="000000"/>
          <w:rtl w:val="0"/>
          <w:lang w:val="en-US"/>
        </w:rPr>
        <w:t>https://doi.org/10.1126/science.285.5429.876</w:t>
      </w:r>
      <w:r>
        <w:rPr>
          <w:rFonts w:ascii="Times New Roman" w:cs="Times New Roman" w:hAnsi="Times New Roman" w:eastAsia="Times New Roman"/>
          <w:u w:color="000000"/>
        </w:rPr>
        <w:fldChar w:fldCharType="end" w:fldLock="0"/>
      </w:r>
      <w:r>
        <w:rPr>
          <w:rFonts w:ascii="Times New Roman" w:hAnsi="Times New Roman"/>
          <w:u w:color="000000"/>
          <w:rtl w:val="0"/>
          <w:lang w:val="en-US"/>
        </w:rPr>
        <w:t>, 1999.</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83" w:hanging="283"/>
        <w:rPr>
          <w:rFonts w:ascii="Times New Roman" w:cs="Times New Roman" w:hAnsi="Times New Roman" w:eastAsia="Times New Roman"/>
          <w:u w:color="000000"/>
        </w:rPr>
      </w:pPr>
      <w:r>
        <w:rPr>
          <w:rFonts w:ascii="Times New Roman" w:hAnsi="Times New Roman"/>
          <w:u w:color="000000"/>
          <w:rtl w:val="0"/>
          <w:lang w:val="en-US"/>
        </w:rPr>
        <w:t xml:space="preserve">Pagani, M.,Arthur, M. A., &amp; Freeman, K. H. </w:t>
      </w:r>
      <w:r>
        <w:rPr>
          <w:rStyle w:val="Hyperlink.1"/>
          <w:rFonts w:ascii="Times New Roman" w:cs="Times New Roman" w:hAnsi="Times New Roman" w:eastAsia="Times New Roman"/>
          <w:outline w:val="0"/>
          <w:color w:val="0000ff"/>
          <w:u w:val="single" w:color="ffffff"/>
          <w14:textFill>
            <w14:solidFill>
              <w14:srgbClr w14:val="0000FF"/>
            </w14:solidFill>
          </w14:textFill>
        </w:rPr>
        <w:fldChar w:fldCharType="begin" w:fldLock="0"/>
      </w:r>
      <w:r>
        <w:rPr>
          <w:rStyle w:val="Hyperlink.1"/>
          <w:rFonts w:ascii="Times New Roman" w:cs="Times New Roman" w:hAnsi="Times New Roman" w:eastAsia="Times New Roman"/>
          <w:outline w:val="0"/>
          <w:color w:val="0000ff"/>
          <w:u w:val="single" w:color="ffffff"/>
          <w14:textFill>
            <w14:solidFill>
              <w14:srgbClr w14:val="0000FF"/>
            </w14:solidFill>
          </w14:textFill>
        </w:rPr>
        <w:instrText xml:space="preserve"> HYPERLINK "https://doi.org/10.1029/1999pa900006"</w:instrText>
      </w:r>
      <w:r>
        <w:rPr>
          <w:rStyle w:val="Hyperlink.1"/>
          <w:rFonts w:ascii="Times New Roman" w:cs="Times New Roman" w:hAnsi="Times New Roman" w:eastAsia="Times New Roman"/>
          <w:outline w:val="0"/>
          <w:color w:val="0000ff"/>
          <w:u w:val="single" w:color="ffffff"/>
          <w14:textFill>
            <w14:solidFill>
              <w14:srgbClr w14:val="0000FF"/>
            </w14:solidFill>
          </w14:textFill>
        </w:rPr>
        <w:fldChar w:fldCharType="separate" w:fldLock="0"/>
      </w:r>
      <w:r>
        <w:rPr>
          <w:rStyle w:val="Hyperlink.1"/>
          <w:rFonts w:ascii="Times New Roman" w:hAnsi="Times New Roman"/>
          <w:outline w:val="0"/>
          <w:color w:val="0000ff"/>
          <w:u w:val="single" w:color="ffffff"/>
          <w:rtl w:val="0"/>
          <w:lang w:val="en-US"/>
          <w14:textFill>
            <w14:solidFill>
              <w14:srgbClr w14:val="0000FF"/>
            </w14:solidFill>
          </w14:textFill>
        </w:rPr>
        <w:t>Miocene evolution of atmospheric carbon dioxide</w:t>
      </w:r>
      <w:r>
        <w:rPr>
          <w:rFonts w:ascii="Times New Roman" w:cs="Times New Roman" w:hAnsi="Times New Roman" w:eastAsia="Times New Roman"/>
          <w:u w:color="000000"/>
        </w:rPr>
        <w:fldChar w:fldCharType="end" w:fldLock="0"/>
      </w:r>
      <w:r>
        <w:rPr>
          <w:rFonts w:ascii="Times New Roman" w:hAnsi="Times New Roman"/>
          <w:u w:color="000000"/>
          <w:rtl w:val="0"/>
          <w:lang w:val="en-US"/>
        </w:rPr>
        <w:t xml:space="preserve">. </w:t>
      </w:r>
      <w:r>
        <w:rPr>
          <w:rStyle w:val="None"/>
          <w:rFonts w:ascii="Times New Roman" w:hAnsi="Times New Roman"/>
          <w:i w:val="1"/>
          <w:iCs w:val="1"/>
          <w:u w:color="000000"/>
          <w:rtl w:val="0"/>
          <w:lang w:val="en-US"/>
        </w:rPr>
        <w:t>Paleoceanography, 14</w:t>
      </w:r>
      <w:r>
        <w:rPr>
          <w:rFonts w:ascii="Times New Roman" w:hAnsi="Times New Roman"/>
          <w:u w:color="000000"/>
          <w:rtl w:val="0"/>
          <w:lang w:val="en-US"/>
        </w:rPr>
        <w:t>(3), 273-292.</w:t>
      </w:r>
      <w:r>
        <w:rPr>
          <w:rFonts w:ascii="Times New Roman" w:hAnsi="Times New Roman"/>
          <w:u w:color="000000"/>
          <w:rtl w:val="0"/>
          <w:lang w:val="de-DE"/>
        </w:rPr>
        <w:t xml:space="preserve"> </w:t>
      </w:r>
      <w:r>
        <w:rPr>
          <w:rFonts w:ascii="Times New Roman" w:cs="Times New Roman" w:hAnsi="Times New Roman" w:eastAsia="Times New Roman"/>
          <w:u w:color="000000"/>
        </w:rPr>
        <w:fldChar w:fldCharType="begin" w:fldLock="0"/>
      </w:r>
      <w:r>
        <w:rPr>
          <w:rFonts w:ascii="Times New Roman" w:cs="Times New Roman" w:hAnsi="Times New Roman" w:eastAsia="Times New Roman"/>
          <w:u w:color="000000"/>
        </w:rPr>
        <w:instrText xml:space="preserve"> HYPERLINK "https://doi.org/10.1029/1999pa900006"</w:instrText>
      </w:r>
      <w:r>
        <w:rPr>
          <w:rFonts w:ascii="Times New Roman" w:cs="Times New Roman" w:hAnsi="Times New Roman" w:eastAsia="Times New Roman"/>
          <w:u w:color="000000"/>
        </w:rPr>
        <w:fldChar w:fldCharType="separate" w:fldLock="0"/>
      </w:r>
      <w:r>
        <w:rPr>
          <w:rFonts w:ascii="Times New Roman" w:hAnsi="Times New Roman"/>
          <w:u w:color="000000"/>
          <w:rtl w:val="0"/>
          <w:lang w:val="en-US"/>
        </w:rPr>
        <w:t>https://doi.org/10.1029/1999pa900006</w:t>
      </w:r>
      <w:r>
        <w:rPr>
          <w:rFonts w:ascii="Times New Roman" w:cs="Times New Roman" w:hAnsi="Times New Roman" w:eastAsia="Times New Roman"/>
          <w:u w:color="000000"/>
        </w:rPr>
        <w:fldChar w:fldCharType="end" w:fldLock="0"/>
      </w:r>
      <w:r>
        <w:rPr>
          <w:rFonts w:ascii="Times New Roman" w:hAnsi="Times New Roman"/>
          <w:u w:color="000000"/>
          <w:rtl w:val="0"/>
          <w:lang w:val="en-US"/>
        </w:rPr>
        <w:t>, 1999.</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Fonts w:ascii="Times New Roman" w:cs="Times New Roman" w:hAnsi="Times New Roman" w:eastAsia="Times New Roman"/>
          <w:u w:color="000000"/>
        </w:rPr>
      </w:pPr>
      <w:r>
        <w:rPr>
          <w:rFonts w:ascii="Times New Roman" w:hAnsi="Times New Roman"/>
          <w:u w:color="000000"/>
          <w:rtl w:val="0"/>
          <w:lang w:val="en-US"/>
        </w:rPr>
        <w:t>Pagani, M., Zachos, J. C., Freeman, K. H., Tipple, B., and Bohaty, S. Marked decline in atmospheric carbon dioxide concentrations during the Paleogene.Science, 309 600</w:t>
      </w:r>
      <w:r>
        <w:rPr>
          <w:rFonts w:ascii="Times New Roman" w:hAnsi="Times New Roman" w:hint="default"/>
          <w:u w:color="000000"/>
          <w:rtl w:val="0"/>
          <w:lang w:val="en-US"/>
        </w:rPr>
        <w:t>–</w:t>
      </w:r>
      <w:r>
        <w:rPr>
          <w:rFonts w:ascii="Times New Roman" w:hAnsi="Times New Roman"/>
          <w:u w:color="000000"/>
          <w:rtl w:val="0"/>
          <w:lang w:val="en-US"/>
        </w:rPr>
        <w:t>603. DOI: 10.1126/science.111006, 2005</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Fonts w:ascii="Times New Roman" w:cs="Times New Roman" w:hAnsi="Times New Roman" w:eastAsia="Times New Roman"/>
          <w:u w:color="000000"/>
        </w:rPr>
      </w:pPr>
      <w:r>
        <w:rPr>
          <w:rFonts w:ascii="Times New Roman" w:hAnsi="Times New Roman"/>
          <w:u w:color="000000"/>
          <w:rtl w:val="0"/>
          <w:lang w:val="en-US"/>
        </w:rPr>
        <w:t>Pagani, M., Huber, M., Liu, Z., Bohaty, S.M., Henderiks, J., Sijp, W., Krishnan, S. &amp; DeConto, R.M. The role of carbon dioxide during the onset of Antarctic glaciation. Science, 334, 1261-1264. DOI: 10.1126/science.1203909, 2011.</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Style w:val="None"/>
          <w:rFonts w:ascii="Times New Roman" w:cs="Times New Roman" w:hAnsi="Times New Roman" w:eastAsia="Times New Roman"/>
          <w:b w:val="1"/>
          <w:bCs w:val="1"/>
          <w:u w:color="000000"/>
        </w:rPr>
      </w:pPr>
      <w:r>
        <w:rPr>
          <w:rFonts w:ascii="Times New Roman" w:hAnsi="Times New Roman"/>
          <w:u w:color="000000"/>
          <w:rtl w:val="0"/>
          <w:lang w:val="en-US"/>
        </w:rPr>
        <w:t>Pearson, P., Foster, G. and Wade, B. Atmospheric carbon dioxide through the Eocene</w:t>
      </w:r>
      <w:r>
        <w:rPr>
          <w:rFonts w:ascii="Times New Roman" w:hAnsi="Times New Roman" w:hint="default"/>
          <w:u w:color="000000"/>
          <w:rtl w:val="0"/>
          <w:lang w:val="en-US"/>
        </w:rPr>
        <w:t>–</w:t>
      </w:r>
      <w:r>
        <w:rPr>
          <w:rFonts w:ascii="Times New Roman" w:hAnsi="Times New Roman"/>
          <w:u w:color="000000"/>
          <w:rtl w:val="0"/>
          <w:lang w:val="en-US"/>
        </w:rPr>
        <w:t>Oligocene climate transition. Nature, 461, 1110</w:t>
      </w:r>
      <w:r>
        <w:rPr>
          <w:rFonts w:ascii="Times New Roman" w:hAnsi="Times New Roman" w:hint="default"/>
          <w:u w:color="000000"/>
          <w:rtl w:val="0"/>
          <w:lang w:val="en-US"/>
        </w:rPr>
        <w:t>–</w:t>
      </w:r>
      <w:r>
        <w:rPr>
          <w:rFonts w:ascii="Times New Roman" w:hAnsi="Times New Roman"/>
          <w:u w:color="000000"/>
          <w:rtl w:val="0"/>
          <w:lang w:val="en-US"/>
        </w:rPr>
        <w:t>1113. https://doi.org/10.1038/nature08447, 2009.</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Fonts w:ascii="Times New Roman" w:cs="Times New Roman" w:hAnsi="Times New Roman" w:eastAsia="Times New Roman"/>
          <w:u w:color="000000"/>
        </w:rPr>
      </w:pPr>
      <w:r>
        <w:rPr>
          <w:rFonts w:ascii="Times New Roman" w:cs="Times New Roman" w:hAnsi="Times New Roman" w:eastAsia="Times New Roman"/>
          <w:u w:color="000000"/>
        </w:rPr>
        <w:fldChar w:fldCharType="begin" w:fldLock="0"/>
      </w:r>
      <w:r>
        <w:rPr>
          <w:rFonts w:ascii="Times New Roman" w:cs="Times New Roman" w:hAnsi="Times New Roman" w:eastAsia="Times New Roman"/>
          <w:u w:color="000000"/>
        </w:rPr>
        <w:instrText xml:space="preserve"> HYPERLINK "http://orcid.org/0000-0001-8652-5489"</w:instrText>
      </w:r>
      <w:r>
        <w:rPr>
          <w:rFonts w:ascii="Times New Roman" w:cs="Times New Roman" w:hAnsi="Times New Roman" w:eastAsia="Times New Roman"/>
          <w:u w:color="000000"/>
        </w:rPr>
        <w:fldChar w:fldCharType="separate" w:fldLock="0"/>
      </w:r>
      <w:r>
        <w:rPr>
          <w:rFonts w:ascii="Times New Roman" w:hAnsi="Times New Roman"/>
          <w:u w:color="000000"/>
          <w:rtl w:val="0"/>
          <w:lang w:val="en-US"/>
        </w:rPr>
        <w:t>Reichgelt, T.</w:t>
      </w:r>
      <w:r>
        <w:rPr>
          <w:rFonts w:ascii="Times New Roman" w:cs="Times New Roman" w:hAnsi="Times New Roman" w:eastAsia="Times New Roman"/>
          <w:u w:color="000000"/>
        </w:rPr>
        <w:fldChar w:fldCharType="end" w:fldLock="0"/>
      </w:r>
      <w:r>
        <w:rPr>
          <w:rFonts w:ascii="Times New Roman" w:hAnsi="Times New Roman"/>
          <w:u w:color="000000"/>
          <w:rtl w:val="0"/>
          <w:lang w:val="en-US"/>
        </w:rPr>
        <w:t>, D'Andrea, W. J., &amp; Fox, B. R.</w:t>
      </w:r>
      <w:r>
        <w:rPr>
          <w:rFonts w:ascii="Times New Roman" w:hAnsi="Times New Roman"/>
          <w:u w:color="000000"/>
          <w:rtl w:val="0"/>
          <w:lang w:val="de-DE"/>
        </w:rPr>
        <w:t xml:space="preserve"> </w:t>
      </w:r>
      <w:r>
        <w:rPr>
          <w:rFonts w:ascii="Times New Roman" w:hAnsi="Times New Roman"/>
          <w:u w:color="000000"/>
          <w:rtl w:val="0"/>
          <w:lang w:val="en-US"/>
        </w:rPr>
        <w:t xml:space="preserve">Abrupt plant physiological changes in southern New Zealand at the termination of the Mi-1 event reflect shifts in hydroclimate and </w:t>
      </w:r>
      <w:r>
        <w:rPr>
          <w:rStyle w:val="None"/>
          <w:rFonts w:ascii="Times New Roman" w:hAnsi="Times New Roman"/>
          <w:i w:val="1"/>
          <w:iCs w:val="1"/>
          <w:u w:color="000000"/>
          <w:rtl w:val="0"/>
          <w:lang w:val="en-US"/>
        </w:rPr>
        <w:t>p</w:t>
      </w:r>
      <w:r>
        <w:rPr>
          <w:rFonts w:ascii="Times New Roman" w:hAnsi="Times New Roman"/>
          <w:u w:color="000000"/>
          <w:rtl w:val="0"/>
          <w:lang w:val="en-US"/>
        </w:rPr>
        <w:t>CO</w:t>
      </w:r>
      <w:r>
        <w:rPr>
          <w:rFonts w:ascii="Arial Unicode MS" w:cs="Arial Unicode MS" w:hAnsi="Arial Unicode MS" w:eastAsia="Arial Unicode MS" w:hint="default"/>
          <w:b w:val="0"/>
          <w:bCs w:val="0"/>
          <w:i w:val="0"/>
          <w:iCs w:val="0"/>
          <w:u w:color="000000"/>
          <w:rtl w:val="0"/>
          <w:lang w:val="en-US"/>
        </w:rPr>
        <w:t>₂</w:t>
      </w:r>
      <w:r>
        <w:rPr>
          <w:rFonts w:ascii="Times New Roman" w:hAnsi="Times New Roman"/>
          <w:u w:color="000000"/>
          <w:rtl w:val="0"/>
          <w:lang w:val="en-US"/>
        </w:rPr>
        <w:t xml:space="preserve">. </w:t>
      </w:r>
      <w:r>
        <w:rPr>
          <w:rStyle w:val="None"/>
          <w:rFonts w:ascii="Times New Roman" w:hAnsi="Times New Roman"/>
          <w:i w:val="1"/>
          <w:iCs w:val="1"/>
          <w:u w:color="000000"/>
          <w:rtl w:val="0"/>
          <w:lang w:val="en-US"/>
        </w:rPr>
        <w:t>Earth and Planetary Science Letters, 455</w:t>
      </w:r>
      <w:r>
        <w:rPr>
          <w:rFonts w:ascii="Times New Roman" w:hAnsi="Times New Roman"/>
          <w:u w:color="000000"/>
          <w:rtl w:val="0"/>
          <w:lang w:val="en-US"/>
        </w:rPr>
        <w:t>, 115-124.</w:t>
      </w:r>
      <w:r>
        <w:rPr>
          <w:rFonts w:ascii="Times New Roman" w:cs="Times New Roman" w:hAnsi="Times New Roman" w:eastAsia="Times New Roman"/>
          <w:u w:color="000000"/>
        </w:rPr>
        <w:fldChar w:fldCharType="begin" w:fldLock="0"/>
      </w:r>
      <w:r>
        <w:rPr>
          <w:rFonts w:ascii="Times New Roman" w:cs="Times New Roman" w:hAnsi="Times New Roman" w:eastAsia="Times New Roman"/>
          <w:u w:color="000000"/>
        </w:rPr>
        <w:instrText xml:space="preserve"> HYPERLINK "https://doi.org/10.1016/j.epsl.2016.09.026"</w:instrText>
      </w:r>
      <w:r>
        <w:rPr>
          <w:rFonts w:ascii="Times New Roman" w:cs="Times New Roman" w:hAnsi="Times New Roman" w:eastAsia="Times New Roman"/>
          <w:u w:color="000000"/>
        </w:rPr>
        <w:fldChar w:fldCharType="separate" w:fldLock="0"/>
      </w:r>
      <w:r>
        <w:rPr>
          <w:rFonts w:ascii="Times New Roman" w:hAnsi="Times New Roman"/>
          <w:u w:color="000000"/>
          <w:rtl w:val="0"/>
          <w:lang w:val="en-US"/>
        </w:rPr>
        <w:t>https://doi.org/10.1016/j.epsl.2016.09.026</w:t>
      </w:r>
      <w:r>
        <w:rPr>
          <w:rFonts w:ascii="Times New Roman" w:cs="Times New Roman" w:hAnsi="Times New Roman" w:eastAsia="Times New Roman"/>
          <w:u w:color="000000"/>
        </w:rPr>
        <w:fldChar w:fldCharType="end" w:fldLock="0"/>
      </w:r>
      <w:r>
        <w:rPr>
          <w:rFonts w:ascii="Times New Roman" w:hAnsi="Times New Roman"/>
          <w:u w:color="000000"/>
          <w:rtl w:val="0"/>
          <w:lang w:val="en-US"/>
        </w:rPr>
        <w:t>, 2016</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Style w:val="None"/>
          <w:rFonts w:ascii="Times New Roman" w:cs="Times New Roman" w:hAnsi="Times New Roman" w:eastAsia="Times New Roman"/>
          <w:b w:val="1"/>
          <w:bCs w:val="1"/>
          <w:u w:color="000000"/>
        </w:rPr>
      </w:pPr>
      <w:r>
        <w:rPr>
          <w:rFonts w:ascii="Times New Roman" w:hAnsi="Times New Roman"/>
          <w:u w:color="000000"/>
          <w:rtl w:val="0"/>
          <w:lang w:val="en-US"/>
        </w:rPr>
        <w:t>Renaudie, J., Lazarus, D. and Diver, P. NSB (Neptune Sandbox Berlin): An expanded and improved database of marine planktonic microfossil data and deep-sea stratigraphy. Palaeontologia Electronica,23(1):a11 https://doi.org/10.26879/1032, 2020.</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Fonts w:ascii="Times New Roman" w:cs="Times New Roman" w:hAnsi="Times New Roman" w:eastAsia="Times New Roman"/>
          <w:u w:color="000000"/>
        </w:rPr>
      </w:pPr>
      <w:r>
        <w:rPr>
          <w:rFonts w:ascii="Times New Roman" w:hAnsi="Times New Roman"/>
          <w:u w:color="000000"/>
          <w:rtl w:val="0"/>
          <w:lang w:val="en-US"/>
        </w:rPr>
        <w:t>Retallack, G. J.: Refining a pedogenic-carbonate CO</w:t>
      </w:r>
      <w:r>
        <w:rPr>
          <w:rStyle w:val="None"/>
          <w:rFonts w:ascii="Times New Roman" w:hAnsi="Times New Roman"/>
          <w:u w:color="000000"/>
          <w:vertAlign w:val="subscript"/>
          <w:rtl w:val="0"/>
          <w:lang w:val="en-US"/>
        </w:rPr>
        <w:t>2</w:t>
      </w:r>
      <w:r>
        <w:rPr>
          <w:rFonts w:ascii="Times New Roman" w:hAnsi="Times New Roman"/>
          <w:u w:color="000000"/>
          <w:rtl w:val="0"/>
          <w:lang w:val="en-US"/>
        </w:rPr>
        <w:t xml:space="preserve"> paleobarometer to quantify a middle Miocene greenhouse spike, </w:t>
      </w:r>
      <w:r>
        <w:rPr>
          <w:rStyle w:val="None"/>
          <w:rFonts w:ascii="Times New Roman" w:hAnsi="Times New Roman"/>
          <w:i w:val="1"/>
          <w:iCs w:val="1"/>
          <w:u w:color="000000"/>
          <w:rtl w:val="0"/>
          <w:lang w:val="en-US"/>
        </w:rPr>
        <w:t>Palaeogeography Palaeoclimatology, Palaeoecology, 281, 57</w:t>
      </w:r>
      <w:r>
        <w:rPr>
          <w:rStyle w:val="None"/>
          <w:rFonts w:ascii="Times New Roman" w:hAnsi="Times New Roman" w:hint="default"/>
          <w:i w:val="1"/>
          <w:iCs w:val="1"/>
          <w:u w:color="000000"/>
          <w:rtl w:val="0"/>
          <w:lang w:val="en-US"/>
        </w:rPr>
        <w:t>–</w:t>
      </w:r>
      <w:r>
        <w:rPr>
          <w:rStyle w:val="None"/>
          <w:rFonts w:ascii="Times New Roman" w:hAnsi="Times New Roman"/>
          <w:i w:val="1"/>
          <w:iCs w:val="1"/>
          <w:u w:color="000000"/>
          <w:rtl w:val="0"/>
          <w:lang w:val="en-US"/>
        </w:rPr>
        <w:t>65,</w:t>
      </w:r>
      <w:r>
        <w:rPr>
          <w:rFonts w:ascii="Times New Roman" w:hAnsi="Times New Roman"/>
          <w:u w:color="000000"/>
          <w:rtl w:val="0"/>
          <w:lang w:val="en-US"/>
        </w:rPr>
        <w:t xml:space="preserve"> https://doi.org/10.1016/j.palaeo.2009.07.011</w:t>
      </w:r>
      <w:r>
        <w:rPr>
          <w:rFonts w:ascii="Times New Roman" w:hAnsi="Times New Roman"/>
          <w:u w:color="000000"/>
          <w:rtl w:val="0"/>
          <w:lang w:val="de-DE"/>
        </w:rPr>
        <w:t xml:space="preserve">, </w:t>
      </w:r>
      <w:r>
        <w:rPr>
          <w:rFonts w:ascii="Times New Roman" w:hAnsi="Times New Roman"/>
          <w:u w:color="000000"/>
          <w:rtl w:val="0"/>
          <w:lang w:val="en-US"/>
        </w:rPr>
        <w:t>2009.</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Style w:val="None"/>
          <w:rFonts w:ascii="Times New Roman" w:cs="Times New Roman" w:hAnsi="Times New Roman" w:eastAsia="Times New Roman"/>
          <w:b w:val="1"/>
          <w:bCs w:val="1"/>
          <w:u w:color="000000"/>
        </w:rPr>
      </w:pPr>
      <w:r>
        <w:rPr>
          <w:rFonts w:ascii="Times New Roman" w:hAnsi="Times New Roman"/>
          <w:u w:color="000000"/>
          <w:rtl w:val="0"/>
          <w:lang w:val="en-US"/>
        </w:rPr>
        <w:t>Roberts, A.P., Bicknell, S.J., Byatt, J., Bohaty, S.M., Florindo, F., and Harwood, D.M. Magnetostratigraphic calibration of Southern Ocean diatom datums from the Eocene-Oligocene of Kerguelen Plateau (Ocean Drilling Program Sites 744 and 748): Palaeogeography, Palaeoclimatology, Palaeoecology, v. 198, p. 145</w:t>
      </w:r>
      <w:r>
        <w:rPr>
          <w:rFonts w:ascii="Times New Roman" w:hAnsi="Times New Roman" w:hint="default"/>
          <w:u w:color="000000"/>
          <w:rtl w:val="0"/>
          <w:lang w:val="en-US"/>
        </w:rPr>
        <w:t>–</w:t>
      </w:r>
      <w:r>
        <w:rPr>
          <w:rFonts w:ascii="Times New Roman" w:hAnsi="Times New Roman"/>
          <w:u w:color="000000"/>
          <w:rtl w:val="0"/>
          <w:lang w:val="en-US"/>
        </w:rPr>
        <w:t>168, doi: 10.1016/S0031-0182(03)00397-3, 2003.</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83" w:hanging="283"/>
        <w:jc w:val="both"/>
        <w:rPr>
          <w:rFonts w:ascii="Times New Roman" w:cs="Times New Roman" w:hAnsi="Times New Roman" w:eastAsia="Times New Roman"/>
        </w:rPr>
      </w:pPr>
      <w:r>
        <w:rPr>
          <w:rFonts w:ascii="Times New Roman" w:hAnsi="Times New Roman"/>
          <w:rtl w:val="0"/>
          <w:lang w:val="en-US"/>
        </w:rPr>
        <w:t xml:space="preserve">Roth-Nebelsick, A., Utescher, T., Mosbrugger, V., Diester-Haass, L., and Walther, H.: Changes in atmospheric CO2 concentrations and climate from the Late Eocene to Early Miocene: palaeobotanical reconstruction based on fossil floras from Saxony, Germany, </w:t>
      </w:r>
      <w:r>
        <w:rPr>
          <w:rStyle w:val="None"/>
          <w:rFonts w:ascii="Times New Roman" w:hAnsi="Times New Roman"/>
          <w:i w:val="1"/>
          <w:iCs w:val="1"/>
          <w:rtl w:val="0"/>
          <w:lang w:val="en-US"/>
        </w:rPr>
        <w:t>Palaeogeography Palaeoclimatology Palaeoecology</w:t>
      </w:r>
      <w:r>
        <w:rPr>
          <w:rFonts w:ascii="Times New Roman" w:hAnsi="Times New Roman"/>
          <w:rtl w:val="0"/>
          <w:lang w:val="en-US"/>
        </w:rPr>
        <w:t xml:space="preserve">, 205, </w:t>
      </w:r>
      <w:r>
        <w:rPr>
          <w:rStyle w:val="None"/>
          <w:rFonts w:ascii="Times New Roman" w:hAnsi="Times New Roman"/>
          <w:u w:color="000000"/>
          <w:rtl w:val="0"/>
          <w:lang w:val="en-US"/>
        </w:rPr>
        <w:t>43</w:t>
      </w:r>
      <w:r>
        <w:rPr>
          <w:rStyle w:val="None"/>
          <w:rFonts w:ascii="Times New Roman" w:hAnsi="Times New Roman" w:hint="default"/>
          <w:u w:color="000000"/>
          <w:rtl w:val="0"/>
          <w:lang w:val="en-US"/>
        </w:rPr>
        <w:t>–</w:t>
      </w:r>
      <w:r>
        <w:rPr>
          <w:rStyle w:val="None"/>
          <w:rFonts w:ascii="Times New Roman" w:hAnsi="Times New Roman"/>
          <w:u w:color="000000"/>
          <w:rtl w:val="0"/>
          <w:lang w:val="en-US"/>
        </w:rPr>
        <w:t>67, https://doi.org/10.1016/j.palaeo.2003.11.014, 2004.</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83" w:hanging="283"/>
        <w:jc w:val="both"/>
        <w:rPr>
          <w:rFonts w:ascii="Times New Roman" w:cs="Times New Roman" w:hAnsi="Times New Roman" w:eastAsia="Times New Roman"/>
        </w:rPr>
      </w:pPr>
      <w:r>
        <w:rPr>
          <w:rFonts w:ascii="Times New Roman" w:hAnsi="Times New Roman"/>
          <w:rtl w:val="0"/>
          <w:lang w:val="en-US"/>
        </w:rPr>
        <w:t xml:space="preserve">Roth-Nebelsick, A., Grein, M., Utescher, T., and Konrad, W.: Stomatal pore length change in leaves of </w:t>
      </w:r>
      <w:r>
        <w:rPr>
          <w:rStyle w:val="None"/>
          <w:rFonts w:ascii="Times New Roman" w:hAnsi="Times New Roman"/>
          <w:i w:val="1"/>
          <w:iCs w:val="1"/>
          <w:rtl w:val="0"/>
          <w:lang w:val="en-US"/>
        </w:rPr>
        <w:t xml:space="preserve">Eotrigonobalanus </w:t>
      </w:r>
      <w:r>
        <w:rPr>
          <w:rStyle w:val="None"/>
          <w:rFonts w:ascii="Times New Roman" w:hAnsi="Times New Roman"/>
          <w:i w:val="1"/>
          <w:iCs w:val="1"/>
          <w:u w:color="000000"/>
          <w:rtl w:val="0"/>
          <w:lang w:val="en-US"/>
        </w:rPr>
        <w:t>furcinervis</w:t>
      </w:r>
      <w:r>
        <w:rPr>
          <w:rStyle w:val="None"/>
          <w:rFonts w:ascii="Times New Roman" w:hAnsi="Times New Roman"/>
          <w:u w:color="000000"/>
          <w:rtl w:val="0"/>
          <w:lang w:val="en-US"/>
        </w:rPr>
        <w:t xml:space="preserve"> (Fagaceae) from the Late Eocene to the </w:t>
      </w:r>
      <w:r>
        <w:rPr>
          <w:rFonts w:ascii="Times New Roman" w:hAnsi="Times New Roman"/>
          <w:rtl w:val="0"/>
          <w:lang w:val="en-US"/>
        </w:rPr>
        <w:t>Latest Oligocene and its impact on gas exchange and CO2 reconstruction</w:t>
      </w:r>
      <w:r>
        <w:rPr>
          <w:rStyle w:val="None"/>
          <w:rFonts w:ascii="Times New Roman" w:hAnsi="Times New Roman"/>
          <w:i w:val="1"/>
          <w:iCs w:val="1"/>
          <w:rtl w:val="0"/>
          <w:lang w:val="en-US"/>
        </w:rPr>
        <w:t>, Rev. Palaeobot. Palynol., 174, 106</w:t>
      </w:r>
      <w:r>
        <w:rPr>
          <w:rStyle w:val="None"/>
          <w:rFonts w:ascii="Times New Roman" w:hAnsi="Times New Roman" w:hint="default"/>
          <w:i w:val="1"/>
          <w:iCs w:val="1"/>
          <w:rtl w:val="0"/>
          <w:lang w:val="en-US"/>
        </w:rPr>
        <w:t>–</w:t>
      </w:r>
      <w:r>
        <w:rPr>
          <w:rStyle w:val="None"/>
          <w:rFonts w:ascii="Times New Roman" w:hAnsi="Times New Roman"/>
          <w:i w:val="1"/>
          <w:iCs w:val="1"/>
          <w:rtl w:val="0"/>
          <w:lang w:val="en-US"/>
        </w:rPr>
        <w:t xml:space="preserve">112, </w:t>
      </w:r>
      <w:r>
        <w:rPr>
          <w:rStyle w:val="None"/>
          <w:rFonts w:ascii="Times New Roman" w:hAnsi="Times New Roman"/>
          <w:u w:color="000000"/>
          <w:rtl w:val="0"/>
          <w:lang w:val="en-US"/>
        </w:rPr>
        <w:t>https://doi.org/10.1016/j.revpalbo.2012.01.001, 2012.</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Fonts w:ascii="Times New Roman" w:cs="Times New Roman" w:hAnsi="Times New Roman" w:eastAsia="Times New Roman"/>
          <w:u w:color="000000"/>
        </w:rPr>
      </w:pPr>
      <w:r>
        <w:rPr>
          <w:rFonts w:ascii="Times New Roman" w:hAnsi="Times New Roman"/>
          <w:u w:color="000000"/>
          <w:rtl w:val="0"/>
          <w:lang w:val="en-US"/>
        </w:rPr>
        <w:t xml:space="preserve">Roth-Nebelsick, A., Oehm, C., Grein, M., Utescher, T., Kunzmann, L., Friedrich, J.-P., &amp; Konrad, W. Stomatal density and index data of Platanus neptuni leaf fossils and their evaluation as a CO2 proxy for the Oligocene. </w:t>
      </w:r>
      <w:r>
        <w:rPr>
          <w:rStyle w:val="None"/>
          <w:rFonts w:ascii="Times New Roman" w:hAnsi="Times New Roman"/>
          <w:i w:val="1"/>
          <w:iCs w:val="1"/>
          <w:u w:color="000000"/>
          <w:rtl w:val="0"/>
          <w:lang w:val="en-US"/>
        </w:rPr>
        <w:t>Review of Palaeobotany and Palynology</w:t>
      </w:r>
      <w:r>
        <w:rPr>
          <w:rFonts w:ascii="Times New Roman" w:hAnsi="Times New Roman"/>
          <w:u w:color="000000"/>
          <w:rtl w:val="0"/>
          <w:lang w:val="en-US"/>
        </w:rPr>
        <w:t>, 206,1</w:t>
      </w:r>
      <w:r>
        <w:rPr>
          <w:rFonts w:ascii="Times New Roman" w:hAnsi="Times New Roman" w:hint="default"/>
          <w:u w:color="000000"/>
          <w:rtl w:val="0"/>
          <w:lang w:val="en-US"/>
        </w:rPr>
        <w:t>–</w:t>
      </w:r>
      <w:r>
        <w:rPr>
          <w:rFonts w:ascii="Times New Roman" w:hAnsi="Times New Roman"/>
          <w:u w:color="000000"/>
          <w:rtl w:val="0"/>
          <w:lang w:val="en-US"/>
        </w:rPr>
        <w:t xml:space="preserve">9. </w:t>
      </w:r>
      <w:r>
        <w:rPr>
          <w:rFonts w:ascii="Times New Roman" w:cs="Times New Roman" w:hAnsi="Times New Roman" w:eastAsia="Times New Roman"/>
          <w:u w:color="000000"/>
        </w:rPr>
        <w:fldChar w:fldCharType="begin" w:fldLock="0"/>
      </w:r>
      <w:r>
        <w:rPr>
          <w:rFonts w:ascii="Times New Roman" w:cs="Times New Roman" w:hAnsi="Times New Roman" w:eastAsia="Times New Roman"/>
          <w:u w:color="000000"/>
        </w:rPr>
        <w:instrText xml:space="preserve"> HYPERLINK "https://doi.org/10.1016/j.revpalbo.2014.03.001"</w:instrText>
      </w:r>
      <w:r>
        <w:rPr>
          <w:rFonts w:ascii="Times New Roman" w:cs="Times New Roman" w:hAnsi="Times New Roman" w:eastAsia="Times New Roman"/>
          <w:u w:color="000000"/>
        </w:rPr>
        <w:fldChar w:fldCharType="separate" w:fldLock="0"/>
      </w:r>
      <w:r>
        <w:rPr>
          <w:rFonts w:ascii="Times New Roman" w:hAnsi="Times New Roman"/>
          <w:u w:color="000000"/>
          <w:rtl w:val="0"/>
          <w:lang w:val="en-US"/>
        </w:rPr>
        <w:t>https://doi.org/10.1016/j.revpalbo.2014.03.001</w:t>
      </w:r>
      <w:r>
        <w:rPr>
          <w:rFonts w:ascii="Times New Roman" w:cs="Times New Roman" w:hAnsi="Times New Roman" w:eastAsia="Times New Roman"/>
          <w:u w:color="000000"/>
        </w:rPr>
        <w:fldChar w:fldCharType="end" w:fldLock="0"/>
      </w:r>
      <w:r>
        <w:rPr>
          <w:rFonts w:ascii="Times New Roman" w:hAnsi="Times New Roman"/>
          <w:u w:color="000000"/>
          <w:rtl w:val="0"/>
          <w:lang w:val="en-US"/>
        </w:rPr>
        <w:t>, 2014.</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Fonts w:ascii="Times New Roman" w:cs="Times New Roman" w:hAnsi="Times New Roman" w:eastAsia="Times New Roman"/>
          <w:u w:color="000000"/>
        </w:rPr>
      </w:pPr>
      <w:r>
        <w:rPr>
          <w:rFonts w:ascii="Times New Roman" w:hAnsi="Times New Roman"/>
          <w:u w:color="000000"/>
          <w:rtl w:val="0"/>
          <w:lang w:val="en-US"/>
        </w:rPr>
        <w:t>Scher, H.D. andMartin, E.E. Circulation in the Southern Ocean during the Paleogene inferred from neodymium isotopes. Earth Planet. Sci. Lett. 228, 391</w:t>
      </w:r>
      <w:r>
        <w:rPr>
          <w:rFonts w:ascii="Times New Roman" w:hAnsi="Times New Roman" w:hint="default"/>
          <w:u w:color="000000"/>
          <w:rtl w:val="0"/>
          <w:lang w:val="en-US"/>
        </w:rPr>
        <w:t>–</w:t>
      </w:r>
      <w:r>
        <w:rPr>
          <w:rFonts w:ascii="Times New Roman" w:hAnsi="Times New Roman"/>
          <w:u w:color="000000"/>
          <w:rtl w:val="0"/>
          <w:lang w:val="en-US"/>
        </w:rPr>
        <w:t>405. https:// doi.org/10.1016/J.EPSL.2004.10.016, 2004.</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Fonts w:ascii="Times New Roman" w:cs="Times New Roman" w:hAnsi="Times New Roman" w:eastAsia="Times New Roman"/>
          <w:u w:color="000000"/>
        </w:rPr>
      </w:pPr>
      <w:r>
        <w:rPr>
          <w:rFonts w:ascii="Times New Roman" w:hAnsi="Times New Roman"/>
          <w:u w:color="000000"/>
          <w:rtl w:val="0"/>
          <w:lang w:val="en-US"/>
        </w:rPr>
        <w:t>Scher, H. D. and Martin, E. E. Timing and climatic consequences of the opening of Drake Passage. Science, 312, 428</w:t>
      </w:r>
      <w:r>
        <w:rPr>
          <w:rFonts w:ascii="Times New Roman" w:hAnsi="Times New Roman" w:hint="default"/>
          <w:u w:color="000000"/>
          <w:rtl w:val="0"/>
          <w:lang w:val="en-US"/>
        </w:rPr>
        <w:t>–</w:t>
      </w:r>
      <w:r>
        <w:rPr>
          <w:rFonts w:ascii="Times New Roman" w:hAnsi="Times New Roman"/>
          <w:u w:color="000000"/>
          <w:rtl w:val="0"/>
          <w:lang w:val="en-US"/>
        </w:rPr>
        <w:t>430. DOI: 10.1126/science.1120044, 2006.</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Fonts w:ascii="Times New Roman" w:cs="Times New Roman" w:hAnsi="Times New Roman" w:eastAsia="Times New Roman"/>
          <w:u w:color="000000"/>
        </w:rPr>
      </w:pPr>
      <w:r>
        <w:rPr>
          <w:rFonts w:ascii="Times New Roman" w:hAnsi="Times New Roman"/>
          <w:u w:color="000000"/>
          <w:rtl w:val="0"/>
          <w:lang w:val="en-US"/>
        </w:rPr>
        <w:t xml:space="preserve">Scher H. D., Delaney M. L. Breaking the glass ceiling for high resolution Nd isotope records in early Cenozoic </w:t>
      </w:r>
      <w:r>
        <w:rPr>
          <w:rFonts w:ascii="Times New Roman" w:hAnsi="Times New Roman"/>
          <w:u w:color="000000"/>
          <w:rtl w:val="0"/>
          <w:lang w:val="de-DE"/>
        </w:rPr>
        <w:t>p</w:t>
      </w:r>
      <w:r>
        <w:rPr>
          <w:rFonts w:ascii="Times New Roman" w:hAnsi="Times New Roman"/>
          <w:u w:color="000000"/>
          <w:rtl w:val="0"/>
          <w:lang w:val="en-US"/>
        </w:rPr>
        <w:t xml:space="preserve">aleoceanography. </w:t>
      </w:r>
      <w:r>
        <w:rPr>
          <w:rStyle w:val="None"/>
          <w:rFonts w:ascii="Times New Roman" w:hAnsi="Times New Roman"/>
          <w:i w:val="1"/>
          <w:iCs w:val="1"/>
          <w:u w:color="000000"/>
          <w:rtl w:val="0"/>
          <w:lang w:val="en-US"/>
        </w:rPr>
        <w:t>Chem</w:t>
      </w:r>
      <w:r>
        <w:rPr>
          <w:rStyle w:val="None"/>
          <w:rFonts w:ascii="Times New Roman" w:hAnsi="Times New Roman"/>
          <w:i w:val="1"/>
          <w:iCs w:val="1"/>
          <w:u w:color="000000"/>
          <w:rtl w:val="0"/>
          <w:lang w:val="de-DE"/>
        </w:rPr>
        <w:t xml:space="preserve">ical </w:t>
      </w:r>
      <w:r>
        <w:rPr>
          <w:rStyle w:val="None"/>
          <w:rFonts w:ascii="Times New Roman" w:hAnsi="Times New Roman"/>
          <w:i w:val="1"/>
          <w:iCs w:val="1"/>
          <w:u w:color="000000"/>
          <w:rtl w:val="0"/>
          <w:lang w:val="en-US"/>
        </w:rPr>
        <w:t>Geol</w:t>
      </w:r>
      <w:r>
        <w:rPr>
          <w:rStyle w:val="None"/>
          <w:rFonts w:ascii="Times New Roman" w:hAnsi="Times New Roman"/>
          <w:i w:val="1"/>
          <w:iCs w:val="1"/>
          <w:u w:color="000000"/>
          <w:rtl w:val="0"/>
          <w:lang w:val="de-DE"/>
        </w:rPr>
        <w:t>ogy,</w:t>
      </w:r>
      <w:r>
        <w:rPr>
          <w:rStyle w:val="None"/>
          <w:rFonts w:ascii="Times New Roman" w:hAnsi="Times New Roman"/>
          <w:i w:val="1"/>
          <w:iCs w:val="1"/>
          <w:u w:color="000000"/>
          <w:rtl w:val="0"/>
          <w:lang w:val="en-US"/>
        </w:rPr>
        <w:t xml:space="preserve"> 269</w:t>
      </w:r>
      <w:r>
        <w:rPr>
          <w:rStyle w:val="None"/>
          <w:rFonts w:ascii="Times New Roman" w:hAnsi="Times New Roman"/>
          <w:i w:val="1"/>
          <w:iCs w:val="1"/>
          <w:u w:color="000000"/>
          <w:rtl w:val="0"/>
          <w:lang w:val="de-DE"/>
        </w:rPr>
        <w:t xml:space="preserve"> (3-4),</w:t>
      </w:r>
      <w:r>
        <w:rPr>
          <w:rStyle w:val="None"/>
          <w:rFonts w:ascii="Times New Roman" w:hAnsi="Times New Roman"/>
          <w:i w:val="1"/>
          <w:iCs w:val="1"/>
          <w:u w:color="000000"/>
          <w:rtl w:val="0"/>
          <w:lang w:val="en-US"/>
        </w:rPr>
        <w:t xml:space="preserve"> 329</w:t>
      </w:r>
      <w:r>
        <w:rPr>
          <w:rStyle w:val="None"/>
          <w:rFonts w:ascii="Times New Roman" w:hAnsi="Times New Roman" w:hint="default"/>
          <w:i w:val="1"/>
          <w:iCs w:val="1"/>
          <w:u w:color="000000"/>
          <w:rtl w:val="0"/>
          <w:lang w:val="en-US"/>
        </w:rPr>
        <w:t>–</w:t>
      </w:r>
      <w:r>
        <w:rPr>
          <w:rStyle w:val="None"/>
          <w:rFonts w:ascii="Times New Roman" w:hAnsi="Times New Roman"/>
          <w:i w:val="1"/>
          <w:iCs w:val="1"/>
          <w:u w:color="000000"/>
          <w:rtl w:val="0"/>
          <w:lang w:val="en-US"/>
        </w:rPr>
        <w:t>338</w:t>
      </w:r>
      <w:r>
        <w:rPr>
          <w:rFonts w:ascii="Times New Roman" w:hAnsi="Times New Roman"/>
          <w:u w:color="000000"/>
          <w:rtl w:val="0"/>
          <w:lang w:val="en-US"/>
        </w:rPr>
        <w:t xml:space="preserve">. </w:t>
      </w:r>
      <w:r>
        <w:rPr>
          <w:rStyle w:val="Hyperlink.1"/>
          <w:rFonts w:ascii="Times New Roman" w:cs="Times New Roman" w:hAnsi="Times New Roman" w:eastAsia="Times New Roman"/>
          <w:outline w:val="0"/>
          <w:color w:val="0000ff"/>
          <w:u w:val="single" w:color="ffffff"/>
          <w14:textFill>
            <w14:solidFill>
              <w14:srgbClr w14:val="0000FF"/>
            </w14:solidFill>
          </w14:textFill>
        </w:rPr>
        <w:fldChar w:fldCharType="begin" w:fldLock="0"/>
      </w:r>
      <w:r>
        <w:rPr>
          <w:rStyle w:val="Hyperlink.1"/>
          <w:rFonts w:ascii="Times New Roman" w:cs="Times New Roman" w:hAnsi="Times New Roman" w:eastAsia="Times New Roman"/>
          <w:outline w:val="0"/>
          <w:color w:val="0000ff"/>
          <w:u w:val="single" w:color="ffffff"/>
          <w14:textFill>
            <w14:solidFill>
              <w14:srgbClr w14:val="0000FF"/>
            </w14:solidFill>
          </w14:textFill>
        </w:rPr>
        <w:instrText xml:space="preserve"> HYPERLINK "https://doi.org/10.1016/j.chemgeo.2009.10.007"</w:instrText>
      </w:r>
      <w:r>
        <w:rPr>
          <w:rStyle w:val="Hyperlink.1"/>
          <w:rFonts w:ascii="Times New Roman" w:cs="Times New Roman" w:hAnsi="Times New Roman" w:eastAsia="Times New Roman"/>
          <w:outline w:val="0"/>
          <w:color w:val="0000ff"/>
          <w:u w:val="single" w:color="ffffff"/>
          <w14:textFill>
            <w14:solidFill>
              <w14:srgbClr w14:val="0000FF"/>
            </w14:solidFill>
          </w14:textFill>
        </w:rPr>
        <w:fldChar w:fldCharType="separate" w:fldLock="0"/>
      </w:r>
      <w:r>
        <w:rPr>
          <w:rStyle w:val="Hyperlink.1"/>
          <w:rFonts w:ascii="Times New Roman" w:hAnsi="Times New Roman"/>
          <w:outline w:val="0"/>
          <w:color w:val="0000ff"/>
          <w:u w:val="single" w:color="ffffff"/>
          <w:rtl w:val="0"/>
          <w:lang w:val="en-US"/>
          <w14:textFill>
            <w14:solidFill>
              <w14:srgbClr w14:val="0000FF"/>
            </w14:solidFill>
          </w14:textFill>
        </w:rPr>
        <w:t>https://doi.org/10.1016/j.chemgeo.2009.10.007</w:t>
      </w:r>
      <w:r>
        <w:rPr>
          <w:rFonts w:ascii="Times New Roman" w:cs="Times New Roman" w:hAnsi="Times New Roman" w:eastAsia="Times New Roman"/>
          <w:u w:color="000000"/>
        </w:rPr>
        <w:fldChar w:fldCharType="end" w:fldLock="0"/>
      </w:r>
      <w:r>
        <w:rPr>
          <w:rFonts w:ascii="Times New Roman" w:hAnsi="Times New Roman"/>
          <w:u w:color="000000"/>
          <w:rtl w:val="0"/>
          <w:lang w:val="de-DE"/>
        </w:rPr>
        <w:t>, 2010.</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Fonts w:ascii="Times New Roman" w:cs="Times New Roman" w:hAnsi="Times New Roman" w:eastAsia="Times New Roman"/>
          <w:u w:color="000000"/>
        </w:rPr>
      </w:pPr>
      <w:r>
        <w:rPr>
          <w:rFonts w:ascii="Times New Roman" w:hAnsi="Times New Roman"/>
          <w:u w:color="000000"/>
          <w:rtl w:val="0"/>
          <w:lang w:val="en-US"/>
        </w:rPr>
        <w:t>Scher, H.D., Bohaty, S.M., Zachos, J.C., Delaney. M.L. Two-stepping into the icehouse: East Antarctic weathering during progressive ice-sheet expansion at the Eocene</w:t>
      </w:r>
      <w:r>
        <w:rPr>
          <w:rFonts w:ascii="Times New Roman" w:hAnsi="Times New Roman" w:hint="default"/>
          <w:u w:color="000000"/>
          <w:rtl w:val="0"/>
          <w:lang w:val="en-US"/>
        </w:rPr>
        <w:t>–</w:t>
      </w:r>
      <w:r>
        <w:rPr>
          <w:rFonts w:ascii="Times New Roman" w:hAnsi="Times New Roman"/>
          <w:u w:color="000000"/>
          <w:rtl w:val="0"/>
          <w:lang w:val="en-US"/>
        </w:rPr>
        <w:t xml:space="preserve">Oligocene transition. </w:t>
      </w:r>
      <w:r>
        <w:rPr>
          <w:rStyle w:val="None"/>
          <w:rFonts w:ascii="Times New Roman" w:hAnsi="Times New Roman"/>
          <w:i w:val="1"/>
          <w:iCs w:val="1"/>
          <w:u w:color="000000"/>
          <w:rtl w:val="0"/>
          <w:lang w:val="en-US"/>
        </w:rPr>
        <w:t xml:space="preserve">Geology, </w:t>
      </w:r>
      <w:r>
        <w:rPr>
          <w:rFonts w:ascii="Times New Roman" w:hAnsi="Times New Roman"/>
          <w:u w:color="000000"/>
          <w:rtl w:val="0"/>
          <w:lang w:val="en-US"/>
        </w:rPr>
        <w:t>2011;; 39 (4): 383</w:t>
      </w:r>
      <w:r>
        <w:rPr>
          <w:rFonts w:ascii="Times New Roman" w:hAnsi="Times New Roman" w:hint="default"/>
          <w:u w:color="000000"/>
          <w:rtl w:val="0"/>
          <w:lang w:val="en-US"/>
        </w:rPr>
        <w:t>–</w:t>
      </w:r>
      <w:r>
        <w:rPr>
          <w:rFonts w:ascii="Times New Roman" w:hAnsi="Times New Roman"/>
          <w:u w:color="000000"/>
          <w:rtl w:val="0"/>
          <w:lang w:val="en-US"/>
        </w:rPr>
        <w:t>386. doi:</w:t>
      </w:r>
      <w:r>
        <w:rPr>
          <w:rStyle w:val="Hyperlink.1"/>
          <w:rFonts w:ascii="Times New Roman" w:cs="Times New Roman" w:hAnsi="Times New Roman" w:eastAsia="Times New Roman"/>
          <w:outline w:val="0"/>
          <w:color w:val="0000ff"/>
          <w:u w:val="single" w:color="ffffff"/>
          <w14:textFill>
            <w14:solidFill>
              <w14:srgbClr w14:val="0000FF"/>
            </w14:solidFill>
          </w14:textFill>
        </w:rPr>
        <w:fldChar w:fldCharType="begin" w:fldLock="0"/>
      </w:r>
      <w:r>
        <w:rPr>
          <w:rStyle w:val="Hyperlink.1"/>
          <w:rFonts w:ascii="Times New Roman" w:cs="Times New Roman" w:hAnsi="Times New Roman" w:eastAsia="Times New Roman"/>
          <w:outline w:val="0"/>
          <w:color w:val="0000ff"/>
          <w:u w:val="single" w:color="ffffff"/>
          <w14:textFill>
            <w14:solidFill>
              <w14:srgbClr w14:val="0000FF"/>
            </w14:solidFill>
          </w14:textFill>
        </w:rPr>
        <w:instrText xml:space="preserve"> HYPERLINK "https://doi.org/10.1130/G31726.1"</w:instrText>
      </w:r>
      <w:r>
        <w:rPr>
          <w:rStyle w:val="Hyperlink.1"/>
          <w:rFonts w:ascii="Times New Roman" w:cs="Times New Roman" w:hAnsi="Times New Roman" w:eastAsia="Times New Roman"/>
          <w:outline w:val="0"/>
          <w:color w:val="0000ff"/>
          <w:u w:val="single" w:color="ffffff"/>
          <w14:textFill>
            <w14:solidFill>
              <w14:srgbClr w14:val="0000FF"/>
            </w14:solidFill>
          </w14:textFill>
        </w:rPr>
        <w:fldChar w:fldCharType="separate" w:fldLock="0"/>
      </w:r>
      <w:r>
        <w:rPr>
          <w:rStyle w:val="Hyperlink.1"/>
          <w:rFonts w:ascii="Times New Roman" w:hAnsi="Times New Roman"/>
          <w:outline w:val="0"/>
          <w:color w:val="0000ff"/>
          <w:u w:val="single" w:color="ffffff"/>
          <w:rtl w:val="0"/>
          <w:lang w:val="en-US"/>
          <w14:textFill>
            <w14:solidFill>
              <w14:srgbClr w14:val="0000FF"/>
            </w14:solidFill>
          </w14:textFill>
        </w:rPr>
        <w:t>https://doi.org/10.1130/G31726.1</w:t>
      </w:r>
      <w:r>
        <w:rPr>
          <w:rFonts w:ascii="Times New Roman" w:cs="Times New Roman" w:hAnsi="Times New Roman" w:eastAsia="Times New Roman"/>
          <w:u w:color="000000"/>
        </w:rPr>
        <w:fldChar w:fldCharType="end" w:fldLock="0"/>
      </w:r>
      <w:r>
        <w:rPr>
          <w:rFonts w:ascii="Times New Roman" w:hAnsi="Times New Roman"/>
          <w:u w:color="000000"/>
          <w:rtl w:val="0"/>
          <w:lang w:val="en-US"/>
        </w:rPr>
        <w:t>, 2011</w:t>
      </w:r>
      <w:r>
        <w:rPr>
          <w:rFonts w:ascii="Times New Roman" w:hAnsi="Times New Roman"/>
          <w:u w:color="000000"/>
          <w:rtl w:val="0"/>
          <w:lang w:val="de-DE"/>
        </w:rPr>
        <w:t>.</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Fonts w:ascii="Times New Roman" w:cs="Times New Roman" w:hAnsi="Times New Roman" w:eastAsia="Times New Roman"/>
          <w:u w:color="000000"/>
        </w:rPr>
      </w:pPr>
      <w:r>
        <w:rPr>
          <w:rFonts w:ascii="Times New Roman" w:hAnsi="Times New Roman"/>
          <w:u w:color="000000"/>
          <w:rtl w:val="0"/>
          <w:lang w:val="en-US"/>
        </w:rPr>
        <w:t>Scher, H.D., Bohaty, S.M., Smith, B.W., Munn, G.H. Isotopic interrogation of a suspected late Eocene glaciation. Paleoceanography 29, 628</w:t>
      </w:r>
      <w:r>
        <w:rPr>
          <w:rFonts w:ascii="Times New Roman" w:hAnsi="Times New Roman" w:hint="default"/>
          <w:u w:color="000000"/>
          <w:rtl w:val="0"/>
          <w:lang w:val="en-US"/>
        </w:rPr>
        <w:t>–</w:t>
      </w:r>
      <w:r>
        <w:rPr>
          <w:rFonts w:ascii="Times New Roman" w:hAnsi="Times New Roman"/>
          <w:u w:color="000000"/>
          <w:rtl w:val="0"/>
          <w:lang w:val="en-US"/>
        </w:rPr>
        <w:t>644. https://doi.org/ 10.1002/2014PA002648, 2014.</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Style w:val="None"/>
          <w:rFonts w:ascii="Times New Roman" w:cs="Times New Roman" w:hAnsi="Times New Roman" w:eastAsia="Times New Roman"/>
          <w:b w:val="1"/>
          <w:bCs w:val="1"/>
          <w:u w:color="000000"/>
        </w:rPr>
      </w:pPr>
      <w:r>
        <w:rPr>
          <w:rFonts w:ascii="Times New Roman" w:hAnsi="Times New Roman"/>
          <w:u w:color="000000"/>
          <w:rtl w:val="0"/>
          <w:lang w:val="en-US"/>
        </w:rPr>
        <w:t>Spiess, V.</w:t>
      </w:r>
      <w:r>
        <w:rPr>
          <w:rFonts w:ascii="Times New Roman" w:hAnsi="Times New Roman"/>
          <w:u w:color="000000"/>
          <w:rtl w:val="0"/>
          <w:lang w:val="de-DE"/>
        </w:rPr>
        <w:t xml:space="preserve"> </w:t>
      </w:r>
      <w:r>
        <w:rPr>
          <w:rFonts w:ascii="Times New Roman" w:hAnsi="Times New Roman"/>
          <w:u w:color="000000"/>
          <w:rtl w:val="0"/>
          <w:lang w:val="en-US"/>
        </w:rPr>
        <w:t>Cenozoic magnetostratigraphy of Leg 113 drill sites, Maud Rise, Weddell Sea, Antarctica, In: Barker, P. F., et al., (eds). Proceedings of the Ocean Drilling Program: College Station, Texas, Scientific Results, v. 113, p. 261</w:t>
      </w:r>
      <w:r>
        <w:rPr>
          <w:rFonts w:ascii="Times New Roman" w:hAnsi="Times New Roman" w:hint="default"/>
          <w:u w:color="000000"/>
          <w:rtl w:val="0"/>
          <w:lang w:val="en-US"/>
        </w:rPr>
        <w:t>–</w:t>
      </w:r>
      <w:r>
        <w:rPr>
          <w:rFonts w:ascii="Times New Roman" w:hAnsi="Times New Roman"/>
          <w:u w:color="000000"/>
          <w:rtl w:val="0"/>
          <w:lang w:val="en-US"/>
        </w:rPr>
        <w:t>318. https://doi.org/10.2973/odp.proc.sr.113.182.1990</w:t>
      </w:r>
      <w:r>
        <w:rPr>
          <w:rFonts w:ascii="Times New Roman" w:hAnsi="Times New Roman"/>
          <w:u w:color="000000"/>
          <w:rtl w:val="0"/>
          <w:lang w:val="de-DE"/>
        </w:rPr>
        <w:t>, 1990.</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Style w:val="None"/>
          <w:rFonts w:ascii="Times New Roman" w:cs="Times New Roman" w:hAnsi="Times New Roman" w:eastAsia="Times New Roman"/>
          <w:b w:val="1"/>
          <w:bCs w:val="1"/>
          <w:u w:color="000000"/>
        </w:rPr>
      </w:pPr>
      <w:r>
        <w:rPr>
          <w:rFonts w:ascii="Times New Roman" w:cs="Times New Roman" w:hAnsi="Times New Roman" w:eastAsia="Times New Roman"/>
          <w:u w:color="000000"/>
        </w:rPr>
        <w:fldChar w:fldCharType="begin" w:fldLock="0"/>
      </w:r>
      <w:r>
        <w:rPr>
          <w:rFonts w:ascii="Times New Roman" w:cs="Times New Roman" w:hAnsi="Times New Roman" w:eastAsia="Times New Roman"/>
          <w:u w:color="000000"/>
        </w:rPr>
        <w:instrText xml:space="preserve"> HYPERLINK "http://orcid.org/0000-0002-7893-1142"</w:instrText>
      </w:r>
      <w:r>
        <w:rPr>
          <w:rFonts w:ascii="Times New Roman" w:cs="Times New Roman" w:hAnsi="Times New Roman" w:eastAsia="Times New Roman"/>
          <w:u w:color="000000"/>
        </w:rPr>
        <w:fldChar w:fldCharType="separate" w:fldLock="0"/>
      </w:r>
      <w:r>
        <w:rPr>
          <w:rFonts w:ascii="Times New Roman" w:hAnsi="Times New Roman"/>
          <w:u w:color="000000"/>
          <w:rtl w:val="0"/>
          <w:lang w:val="en-US"/>
        </w:rPr>
        <w:t>Steinthorsdottir, M.</w:t>
      </w:r>
      <w:r>
        <w:rPr>
          <w:rFonts w:ascii="Times New Roman" w:cs="Times New Roman" w:hAnsi="Times New Roman" w:eastAsia="Times New Roman"/>
          <w:u w:color="000000"/>
        </w:rPr>
        <w:fldChar w:fldCharType="end" w:fldLock="0"/>
      </w:r>
      <w:r>
        <w:rPr>
          <w:rFonts w:ascii="Times New Roman" w:hAnsi="Times New Roman"/>
          <w:u w:color="000000"/>
          <w:rtl w:val="0"/>
          <w:lang w:val="en-US"/>
        </w:rPr>
        <w:t xml:space="preserve">, Porter, A. S., Holohan, A., Kunzmann, L., Collinson, M., &amp; McElwain, J. C. </w:t>
      </w:r>
      <w:r>
        <w:rPr>
          <w:rStyle w:val="Hyperlink.1"/>
          <w:rFonts w:ascii="Times New Roman" w:cs="Times New Roman" w:hAnsi="Times New Roman" w:eastAsia="Times New Roman"/>
          <w:outline w:val="0"/>
          <w:color w:val="0000ff"/>
          <w:u w:val="single" w:color="ffffff"/>
          <w14:textFill>
            <w14:solidFill>
              <w14:srgbClr w14:val="0000FF"/>
            </w14:solidFill>
          </w14:textFill>
        </w:rPr>
        <w:fldChar w:fldCharType="begin" w:fldLock="0"/>
      </w:r>
      <w:r>
        <w:rPr>
          <w:rStyle w:val="Hyperlink.1"/>
          <w:rFonts w:ascii="Times New Roman" w:cs="Times New Roman" w:hAnsi="Times New Roman" w:eastAsia="Times New Roman"/>
          <w:outline w:val="0"/>
          <w:color w:val="0000ff"/>
          <w:u w:val="single" w:color="ffffff"/>
          <w14:textFill>
            <w14:solidFill>
              <w14:srgbClr w14:val="0000FF"/>
            </w14:solidFill>
          </w14:textFill>
        </w:rPr>
        <w:instrText xml:space="preserve"> HYPERLINK "https://doi.org/10.5194/cp-12-439-2016"</w:instrText>
      </w:r>
      <w:r>
        <w:rPr>
          <w:rStyle w:val="Hyperlink.1"/>
          <w:rFonts w:ascii="Times New Roman" w:cs="Times New Roman" w:hAnsi="Times New Roman" w:eastAsia="Times New Roman"/>
          <w:outline w:val="0"/>
          <w:color w:val="0000ff"/>
          <w:u w:val="single" w:color="ffffff"/>
          <w14:textFill>
            <w14:solidFill>
              <w14:srgbClr w14:val="0000FF"/>
            </w14:solidFill>
          </w14:textFill>
        </w:rPr>
        <w:fldChar w:fldCharType="separate" w:fldLock="0"/>
      </w:r>
      <w:r>
        <w:rPr>
          <w:rStyle w:val="Hyperlink.1"/>
          <w:rFonts w:ascii="Times New Roman" w:hAnsi="Times New Roman"/>
          <w:outline w:val="0"/>
          <w:color w:val="0000ff"/>
          <w:u w:val="single" w:color="ffffff"/>
          <w:rtl w:val="0"/>
          <w:lang w:val="en-US"/>
          <w14:textFill>
            <w14:solidFill>
              <w14:srgbClr w14:val="0000FF"/>
            </w14:solidFill>
          </w14:textFill>
        </w:rPr>
        <w:t>Fossil plant stomata indicate decreasing atmospheric CO</w:t>
      </w:r>
      <w:r>
        <w:rPr>
          <w:rStyle w:val="Hyperlink.1"/>
          <w:rFonts w:ascii="Arial Unicode MS" w:cs="Arial Unicode MS" w:hAnsi="Arial Unicode MS" w:eastAsia="Arial Unicode MS" w:hint="default"/>
          <w:b w:val="0"/>
          <w:bCs w:val="0"/>
          <w:i w:val="0"/>
          <w:iCs w:val="0"/>
          <w:outline w:val="0"/>
          <w:color w:val="0000ff"/>
          <w:u w:val="single" w:color="ffffff"/>
          <w:rtl w:val="0"/>
          <w:lang w:val="en-US"/>
          <w14:textFill>
            <w14:solidFill>
              <w14:srgbClr w14:val="0000FF"/>
            </w14:solidFill>
          </w14:textFill>
        </w:rPr>
        <w:t>₂</w:t>
      </w:r>
      <w:r>
        <w:rPr>
          <w:rStyle w:val="Hyperlink.1"/>
          <w:rFonts w:ascii="Times New Roman" w:hAnsi="Times New Roman"/>
          <w:outline w:val="0"/>
          <w:color w:val="0000ff"/>
          <w:u w:val="single" w:color="ffffff"/>
          <w:rtl w:val="0"/>
          <w:lang w:val="en-US"/>
          <w14:textFill>
            <w14:solidFill>
              <w14:srgbClr w14:val="0000FF"/>
            </w14:solidFill>
          </w14:textFill>
        </w:rPr>
        <w:t xml:space="preserve"> </w:t>
      </w:r>
      <w:r>
        <w:rPr>
          <w:rStyle w:val="Hyperlink.1"/>
          <w:rFonts w:ascii="Times New Roman" w:hAnsi="Times New Roman"/>
          <w:outline w:val="0"/>
          <w:color w:val="0000ff"/>
          <w:u w:val="single" w:color="ffffff"/>
          <w:rtl w:val="0"/>
          <w:lang w:val="en-US"/>
          <w14:textFill>
            <w14:solidFill>
              <w14:srgbClr w14:val="0000FF"/>
            </w14:solidFill>
          </w14:textFill>
        </w:rPr>
        <w:t>prior to the Eocene</w:t>
      </w:r>
      <w:r>
        <w:rPr>
          <w:rStyle w:val="Hyperlink.1"/>
          <w:rFonts w:ascii="Times New Roman" w:hAnsi="Times New Roman" w:hint="default"/>
          <w:outline w:val="0"/>
          <w:color w:val="0000ff"/>
          <w:u w:val="single" w:color="ffffff"/>
          <w:rtl w:val="0"/>
          <w:lang w:val="en-US"/>
          <w14:textFill>
            <w14:solidFill>
              <w14:srgbClr w14:val="0000FF"/>
            </w14:solidFill>
          </w14:textFill>
        </w:rPr>
        <w:t>–</w:t>
      </w:r>
      <w:r>
        <w:rPr>
          <w:rStyle w:val="Hyperlink.1"/>
          <w:rFonts w:ascii="Times New Roman" w:hAnsi="Times New Roman"/>
          <w:outline w:val="0"/>
          <w:color w:val="0000ff"/>
          <w:u w:val="single" w:color="ffffff"/>
          <w:rtl w:val="0"/>
          <w:lang w:val="en-US"/>
          <w14:textFill>
            <w14:solidFill>
              <w14:srgbClr w14:val="0000FF"/>
            </w14:solidFill>
          </w14:textFill>
        </w:rPr>
        <w:t>Oligocene boundary</w:t>
      </w:r>
      <w:r>
        <w:rPr>
          <w:rFonts w:ascii="Times New Roman" w:cs="Times New Roman" w:hAnsi="Times New Roman" w:eastAsia="Times New Roman"/>
          <w:u w:color="000000"/>
        </w:rPr>
        <w:fldChar w:fldCharType="end" w:fldLock="0"/>
      </w:r>
      <w:r>
        <w:rPr>
          <w:rFonts w:ascii="Times New Roman" w:hAnsi="Times New Roman"/>
          <w:u w:color="000000"/>
          <w:rtl w:val="0"/>
          <w:lang w:val="en-US"/>
        </w:rPr>
        <w:t xml:space="preserve">. </w:t>
      </w:r>
      <w:r>
        <w:rPr>
          <w:rStyle w:val="None"/>
          <w:rFonts w:ascii="Times New Roman" w:hAnsi="Times New Roman"/>
          <w:i w:val="1"/>
          <w:iCs w:val="1"/>
          <w:u w:color="000000"/>
          <w:rtl w:val="0"/>
          <w:lang w:val="en-US"/>
        </w:rPr>
        <w:t>Climate of the Past, 12</w:t>
      </w:r>
      <w:r>
        <w:rPr>
          <w:rFonts w:ascii="Times New Roman" w:hAnsi="Times New Roman"/>
          <w:u w:color="000000"/>
          <w:rtl w:val="0"/>
          <w:lang w:val="en-US"/>
        </w:rPr>
        <w:t>(2), 439-454.</w:t>
      </w:r>
      <w:r>
        <w:rPr>
          <w:rFonts w:ascii="Times New Roman" w:cs="Times New Roman" w:hAnsi="Times New Roman" w:eastAsia="Times New Roman"/>
          <w:u w:color="000000"/>
        </w:rPr>
        <w:fldChar w:fldCharType="begin" w:fldLock="0"/>
      </w:r>
      <w:r>
        <w:rPr>
          <w:rFonts w:ascii="Times New Roman" w:cs="Times New Roman" w:hAnsi="Times New Roman" w:eastAsia="Times New Roman"/>
          <w:u w:color="000000"/>
        </w:rPr>
        <w:instrText xml:space="preserve"> HYPERLINK "https://doi.org/10.5194/cp-12-439-2016"</w:instrText>
      </w:r>
      <w:r>
        <w:rPr>
          <w:rFonts w:ascii="Times New Roman" w:cs="Times New Roman" w:hAnsi="Times New Roman" w:eastAsia="Times New Roman"/>
          <w:u w:color="000000"/>
        </w:rPr>
        <w:fldChar w:fldCharType="separate" w:fldLock="0"/>
      </w:r>
      <w:r>
        <w:rPr>
          <w:rFonts w:ascii="Times New Roman" w:hAnsi="Times New Roman"/>
          <w:u w:color="000000"/>
          <w:rtl w:val="0"/>
          <w:lang w:val="en-US"/>
        </w:rPr>
        <w:t>https://doi.org/10.5194/cp-12-439-2016</w:t>
      </w:r>
      <w:r>
        <w:rPr>
          <w:rFonts w:ascii="Times New Roman" w:cs="Times New Roman" w:hAnsi="Times New Roman" w:eastAsia="Times New Roman"/>
          <w:u w:color="000000"/>
        </w:rPr>
        <w:fldChar w:fldCharType="end" w:fldLock="0"/>
      </w:r>
      <w:r>
        <w:rPr>
          <w:rFonts w:ascii="Times New Roman" w:hAnsi="Times New Roman"/>
          <w:u w:color="000000"/>
          <w:rtl w:val="0"/>
          <w:lang w:val="en-US"/>
        </w:rPr>
        <w:t>, 2016.</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Fonts w:ascii="Times New Roman" w:cs="Times New Roman" w:hAnsi="Times New Roman" w:eastAsia="Times New Roman"/>
          <w:u w:color="000000"/>
        </w:rPr>
      </w:pPr>
      <w:r>
        <w:rPr>
          <w:rFonts w:ascii="Times New Roman" w:hAnsi="Times New Roman"/>
          <w:u w:color="000000"/>
          <w:rtl w:val="0"/>
          <w:lang w:val="en-US"/>
        </w:rPr>
        <w:t xml:space="preserve">Sun, B. N., Wang, Q. J., Konrad, W., Ma, F. J., Dong, J. L., &amp; Wang, Z. X. </w:t>
      </w:r>
      <w:r>
        <w:rPr>
          <w:rStyle w:val="Hyperlink.1"/>
          <w:rFonts w:ascii="Times New Roman" w:cs="Times New Roman" w:hAnsi="Times New Roman" w:eastAsia="Times New Roman"/>
          <w:outline w:val="0"/>
          <w:color w:val="0000ff"/>
          <w:u w:val="single" w:color="ffffff"/>
          <w14:textFill>
            <w14:solidFill>
              <w14:srgbClr w14:val="0000FF"/>
            </w14:solidFill>
          </w14:textFill>
        </w:rPr>
        <w:fldChar w:fldCharType="begin" w:fldLock="0"/>
      </w:r>
      <w:r>
        <w:rPr>
          <w:rStyle w:val="Hyperlink.1"/>
          <w:rFonts w:ascii="Times New Roman" w:cs="Times New Roman" w:hAnsi="Times New Roman" w:eastAsia="Times New Roman"/>
          <w:outline w:val="0"/>
          <w:color w:val="0000ff"/>
          <w:u w:val="single" w:color="ffffff"/>
          <w14:textFill>
            <w14:solidFill>
              <w14:srgbClr w14:val="0000FF"/>
            </w14:solidFill>
          </w14:textFill>
        </w:rPr>
        <w:instrText xml:space="preserve"> HYPERLINK "https://doi.org/10.1016/j.palaeo.2016.09.015"</w:instrText>
      </w:r>
      <w:r>
        <w:rPr>
          <w:rStyle w:val="Hyperlink.1"/>
          <w:rFonts w:ascii="Times New Roman" w:cs="Times New Roman" w:hAnsi="Times New Roman" w:eastAsia="Times New Roman"/>
          <w:outline w:val="0"/>
          <w:color w:val="0000ff"/>
          <w:u w:val="single" w:color="ffffff"/>
          <w14:textFill>
            <w14:solidFill>
              <w14:srgbClr w14:val="0000FF"/>
            </w14:solidFill>
          </w14:textFill>
        </w:rPr>
        <w:fldChar w:fldCharType="separate" w:fldLock="0"/>
      </w:r>
      <w:r>
        <w:rPr>
          <w:rStyle w:val="Hyperlink.1"/>
          <w:rFonts w:ascii="Times New Roman" w:hAnsi="Times New Roman"/>
          <w:outline w:val="0"/>
          <w:color w:val="0000ff"/>
          <w:u w:val="single" w:color="ffffff"/>
          <w:rtl w:val="0"/>
          <w:lang w:val="en-US"/>
          <w14:textFill>
            <w14:solidFill>
              <w14:srgbClr w14:val="0000FF"/>
            </w14:solidFill>
          </w14:textFill>
        </w:rPr>
        <w:t>Reconstruction of atmospheric CO</w:t>
      </w:r>
      <w:r>
        <w:rPr>
          <w:rStyle w:val="Hyperlink.1"/>
          <w:rFonts w:ascii="Arial Unicode MS" w:cs="Arial Unicode MS" w:hAnsi="Arial Unicode MS" w:eastAsia="Arial Unicode MS" w:hint="default"/>
          <w:b w:val="0"/>
          <w:bCs w:val="0"/>
          <w:i w:val="0"/>
          <w:iCs w:val="0"/>
          <w:outline w:val="0"/>
          <w:color w:val="0000ff"/>
          <w:u w:val="single" w:color="ffffff"/>
          <w:rtl w:val="0"/>
          <w:lang w:val="en-US"/>
          <w14:textFill>
            <w14:solidFill>
              <w14:srgbClr w14:val="0000FF"/>
            </w14:solidFill>
          </w14:textFill>
        </w:rPr>
        <w:t>₂</w:t>
      </w:r>
      <w:r>
        <w:rPr>
          <w:rStyle w:val="Hyperlink.1"/>
          <w:rFonts w:ascii="Times New Roman" w:hAnsi="Times New Roman"/>
          <w:outline w:val="0"/>
          <w:color w:val="0000ff"/>
          <w:u w:val="single" w:color="ffffff"/>
          <w:rtl w:val="0"/>
          <w:lang w:val="en-US"/>
          <w14:textFill>
            <w14:solidFill>
              <w14:srgbClr w14:val="0000FF"/>
            </w14:solidFill>
          </w14:textFill>
        </w:rPr>
        <w:t xml:space="preserve"> </w:t>
      </w:r>
      <w:r>
        <w:rPr>
          <w:rStyle w:val="Hyperlink.1"/>
          <w:rFonts w:ascii="Times New Roman" w:hAnsi="Times New Roman"/>
          <w:outline w:val="0"/>
          <w:color w:val="0000ff"/>
          <w:u w:val="single" w:color="ffffff"/>
          <w:rtl w:val="0"/>
          <w:lang w:val="en-US"/>
          <w14:textFill>
            <w14:solidFill>
              <w14:srgbClr w14:val="0000FF"/>
            </w14:solidFill>
          </w14:textFill>
        </w:rPr>
        <w:t>during the Oligocene based on leaf fossils from the Ningming Formation in Guangxi, China</w:t>
      </w:r>
      <w:r>
        <w:rPr>
          <w:rFonts w:ascii="Times New Roman" w:cs="Times New Roman" w:hAnsi="Times New Roman" w:eastAsia="Times New Roman"/>
          <w:u w:color="000000"/>
        </w:rPr>
        <w:fldChar w:fldCharType="end" w:fldLock="0"/>
      </w:r>
      <w:r>
        <w:rPr>
          <w:rFonts w:ascii="Times New Roman" w:hAnsi="Times New Roman"/>
          <w:u w:color="000000"/>
          <w:rtl w:val="0"/>
          <w:lang w:val="en-US"/>
        </w:rPr>
        <w:t xml:space="preserve">. </w:t>
      </w:r>
      <w:r>
        <w:rPr>
          <w:rStyle w:val="None"/>
          <w:rFonts w:ascii="Times New Roman" w:hAnsi="Times New Roman"/>
          <w:i w:val="1"/>
          <w:iCs w:val="1"/>
          <w:u w:color="000000"/>
          <w:rtl w:val="0"/>
          <w:lang w:val="en-US"/>
        </w:rPr>
        <w:t>Palaeogeography, Palaeoclimatology, Palaeoecology, 467</w:t>
      </w:r>
      <w:r>
        <w:rPr>
          <w:rFonts w:ascii="Times New Roman" w:hAnsi="Times New Roman"/>
          <w:u w:color="000000"/>
          <w:rtl w:val="0"/>
          <w:lang w:val="en-US"/>
        </w:rPr>
        <w:t>, 5-15.</w:t>
      </w:r>
      <w:r>
        <w:rPr>
          <w:rFonts w:ascii="Times New Roman" w:cs="Times New Roman" w:hAnsi="Times New Roman" w:eastAsia="Times New Roman"/>
          <w:u w:color="000000"/>
        </w:rPr>
        <w:fldChar w:fldCharType="begin" w:fldLock="0"/>
      </w:r>
      <w:r>
        <w:rPr>
          <w:rFonts w:ascii="Times New Roman" w:cs="Times New Roman" w:hAnsi="Times New Roman" w:eastAsia="Times New Roman"/>
          <w:u w:color="000000"/>
        </w:rPr>
        <w:instrText xml:space="preserve"> HYPERLINK "https://doi.org/10.1016/j.palaeo.2016.09.015"</w:instrText>
      </w:r>
      <w:r>
        <w:rPr>
          <w:rFonts w:ascii="Times New Roman" w:cs="Times New Roman" w:hAnsi="Times New Roman" w:eastAsia="Times New Roman"/>
          <w:u w:color="000000"/>
        </w:rPr>
        <w:fldChar w:fldCharType="separate" w:fldLock="0"/>
      </w:r>
      <w:r>
        <w:rPr>
          <w:rFonts w:ascii="Times New Roman" w:hAnsi="Times New Roman"/>
          <w:u w:color="000000"/>
          <w:rtl w:val="0"/>
          <w:lang w:val="en-US"/>
        </w:rPr>
        <w:t>https://doi.org/10.1016/j.palaeo.2016.09.015</w:t>
      </w:r>
      <w:r>
        <w:rPr>
          <w:rFonts w:ascii="Times New Roman" w:cs="Times New Roman" w:hAnsi="Times New Roman" w:eastAsia="Times New Roman"/>
          <w:u w:color="000000"/>
        </w:rPr>
        <w:fldChar w:fldCharType="end" w:fldLock="0"/>
      </w:r>
      <w:r>
        <w:rPr>
          <w:rFonts w:ascii="Times New Roman" w:hAnsi="Times New Roman"/>
          <w:u w:color="000000"/>
          <w:rtl w:val="0"/>
          <w:lang w:val="en-US"/>
        </w:rPr>
        <w:t>, 2017.</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Fonts w:ascii="Times New Roman" w:cs="Times New Roman" w:hAnsi="Times New Roman" w:eastAsia="Times New Roman"/>
          <w:u w:color="000000"/>
        </w:rPr>
      </w:pPr>
      <w:r>
        <w:rPr>
          <w:rFonts w:ascii="Times New Roman" w:hAnsi="Times New Roman"/>
          <w:u w:color="000000"/>
          <w:rtl w:val="0"/>
          <w:lang w:val="en-US"/>
        </w:rPr>
        <w:t>Wright, N.M., Scher, H.D., Seton, M., Huck, C.E., Duggan, B.D. No change in Southern Ocean Circulation in the Indian Ocean from the Eocene through Late Oligocene. Paleoceanography, Paleoclimatology, 33, 152</w:t>
      </w:r>
      <w:r>
        <w:rPr>
          <w:rFonts w:ascii="Times New Roman" w:hAnsi="Times New Roman" w:hint="default"/>
          <w:u w:color="000000"/>
          <w:rtl w:val="0"/>
          <w:lang w:val="en-US"/>
        </w:rPr>
        <w:t>–</w:t>
      </w:r>
      <w:r>
        <w:rPr>
          <w:rFonts w:ascii="Times New Roman" w:hAnsi="Times New Roman"/>
          <w:u w:color="000000"/>
          <w:rtl w:val="0"/>
          <w:lang w:val="en-US"/>
        </w:rPr>
        <w:t>167. https://doi.org/10.1002/ 2017PA003238, 2018.</w:t>
      </w:r>
    </w:p>
    <w:p>
      <w:pPr>
        <w:pStyle w:val="Defaul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0" w:line="240" w:lineRule="auto"/>
        <w:ind w:left="269" w:hanging="269"/>
        <w:jc w:val="both"/>
        <w:rPr>
          <w:rStyle w:val="None"/>
          <w:rFonts w:ascii="Times New Roman" w:cs="Times New Roman" w:hAnsi="Times New Roman" w:eastAsia="Times New Roman"/>
          <w:b w:val="1"/>
          <w:bCs w:val="1"/>
          <w:u w:color="000000"/>
        </w:rPr>
      </w:pPr>
      <w:r>
        <w:rPr>
          <w:rFonts w:ascii="Times New Roman" w:hAnsi="Times New Roman"/>
          <w:u w:color="000000"/>
          <w:rtl w:val="0"/>
          <w:lang w:val="de-DE"/>
        </w:rPr>
        <w:t>Z</w:t>
      </w:r>
      <w:r>
        <w:rPr>
          <w:rFonts w:ascii="Times New Roman" w:hAnsi="Times New Roman"/>
          <w:u w:color="000000"/>
          <w:rtl w:val="0"/>
          <w:lang w:val="en-US"/>
        </w:rPr>
        <w:t>hang, Y. G., Pagani, M., Liu, Z., Bohaty, S. M., and DeConto, R. A 40-million-year history of atmospheric CO2. Philosophical Transactions of the Royal Society A, v. 371, https://doi.org/10.1098/rsta.2013.0096, 2013.</w:t>
      </w:r>
    </w:p>
    <w:p>
      <w:pPr>
        <w:pStyle w:val="Body A"/>
        <w:suppressAutoHyphens w:val="1"/>
      </w:pPr>
      <w:r>
        <w:rPr>
          <w:rStyle w:val="None"/>
          <w:b w:val="1"/>
          <w:bCs w:val="1"/>
        </w:rPr>
      </w:r>
    </w:p>
    <w:sectPr>
      <w:headerReference w:type="default" r:id="rId16"/>
      <w:footerReference w:type="default" r:id="rId17"/>
      <w:pgSz w:w="12240" w:h="15840" w:orient="portrait"/>
      <w:pgMar w:top="1440" w:right="1800" w:bottom="1440" w:left="1800" w:header="720" w:footer="720"/>
      <w:pgNumType w:start="1"/>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Neue">
    <w:charset w:val="00"/>
    <w:family w:val="roman"/>
    <w:pitch w:val="default"/>
  </w:font>
  <w:font w:name="Myriad Pro">
    <w:charset w:val="00"/>
    <w:family w:val="roman"/>
    <w:pitch w:val="default"/>
  </w:font>
  <w:font w:name="Cambria">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bidi w:val="0"/>
    </w:pPr>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bidi w:val="0"/>
    </w:pPr>
    <w:r/>
  </w:p>
</w:hdr>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displayBackgroundShape/>
  <w:revisionView w:markup="1" w:comments="1" w:insDel="1" w:formatting="0"/>
  <w:trackRevisions/>
  <w:defaultTabStop w:val="720"/>
  <w:autoHyphenation w:val="1"/>
  <w:evenAndOddHeaders w:val="0"/>
  <w:bookFoldPrinting w:val="0"/>
  <w:noLineBreaksAfter w:lang="English" w:val="‘“(〔[{〈《「『【⦅〘〖«〝︵︷︹︻︽︿﹁﹃﹇﹙﹛﹝｢"/>
  <w:noLineBreaksBefore w:lang="English"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Header &amp; Footer">
    <w:name w:val="Header &amp; Footer"/>
    <w:next w:val="Header &amp; Footer"/>
    <w:pPr>
      <w:keepNext w:val="0"/>
      <w:keepLines w:val="0"/>
      <w:pageBreakBefore w:val="0"/>
      <w:widowControl w:val="1"/>
      <w:shd w:val="clear" w:color="auto" w:fill="auto"/>
      <w:tabs>
        <w:tab w:val="right" w:pos="9020"/>
      </w:tabs>
      <w:suppressAutoHyphens w:val="0"/>
      <w:bidi w:val="0"/>
      <w:spacing w:before="0" w:after="0" w:line="240"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4"/>
      <w:szCs w:val="24"/>
      <w:u w:val="none"/>
      <w:shd w:val="nil" w:color="auto" w:fill="auto"/>
      <w:vertAlign w:val="baseline"/>
      <w14:textOutline>
        <w14:noFill/>
      </w14:textOutline>
      <w14:textFill>
        <w14:solidFill>
          <w14:srgbClr w14:val="000000"/>
        </w14:solidFill>
      </w14:textFill>
    </w:rPr>
  </w:style>
  <w:style w:type="paragraph" w:styleId="Body A">
    <w:name w:val="Body A"/>
    <w:next w:val="Body A"/>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Times New Roman" w:cs="Arial Unicode MS" w:hAnsi="Times New Roman" w:eastAsia="Arial Unicode MS"/>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lang w:val="de-DE"/>
      <w14:textOutline w14:w="12700" w14:cap="flat">
        <w14:noFill/>
        <w14:miter w14:lim="400000"/>
      </w14:textOutline>
      <w14:textFill>
        <w14:solidFill>
          <w14:srgbClr w14:val="000000"/>
        </w14:solidFill>
      </w14:textFill>
    </w:rPr>
  </w:style>
  <w:style w:type="paragraph" w:styleId="TOC 6">
    <w:name w:val="TOC 6"/>
    <w:next w:val="Body A"/>
    <w:pPr>
      <w:keepNext w:val="0"/>
      <w:keepLines w:val="0"/>
      <w:pageBreakBefore w:val="0"/>
      <w:widowControl w:val="1"/>
      <w:shd w:val="clear" w:color="auto" w:fill="auto"/>
      <w:suppressAutoHyphens w:val="0"/>
      <w:bidi w:val="0"/>
      <w:spacing w:before="0" w:after="0" w:line="240" w:lineRule="auto"/>
      <w:ind w:left="1200" w:right="0" w:firstLine="0"/>
      <w:jc w:val="left"/>
      <w:outlineLvl w:val="9"/>
    </w:pPr>
    <w:rPr>
      <w:rFonts w:ascii="Times New Roman" w:cs="Arial Unicode MS" w:hAnsi="Times New Roman" w:eastAsia="Arial Unicode MS"/>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lang w:val="en-US"/>
      <w14:textFill>
        <w14:solidFill>
          <w14:srgbClr w14:val="000000"/>
        </w14:solidFill>
      </w14:textFill>
    </w:rPr>
  </w:style>
  <w:style w:type="character" w:styleId="None">
    <w:name w:val="None"/>
  </w:style>
  <w:style w:type="character" w:styleId="Hyperlink.0">
    <w:name w:val="Hyperlink.0"/>
    <w:basedOn w:val="None"/>
    <w:next w:val="Hyperlink.0"/>
    <w:rPr>
      <w:rFonts w:ascii="Times New Roman" w:cs="Times New Roman" w:hAnsi="Times New Roman" w:eastAsia="Times New Roman"/>
      <w:b w:val="1"/>
      <w:bCs w:val="1"/>
      <w:outline w:val="0"/>
      <w:color w:val="0000ff"/>
      <w:sz w:val="20"/>
      <w:szCs w:val="20"/>
      <w:u w:val="single" w:color="0000ff"/>
      <w:lang w:val="de-DE"/>
      <w14:textFill>
        <w14:solidFill>
          <w14:srgbClr w14:val="0000FF"/>
        </w14:solidFill>
      </w14:textFill>
    </w:rPr>
  </w:style>
  <w:style w:type="paragraph" w:styleId="SM Heading">
    <w:name w:val="SM Heading"/>
    <w:next w:val="SM Heading"/>
    <w:pPr>
      <w:keepNext w:val="1"/>
      <w:keepLines w:val="0"/>
      <w:pageBreakBefore w:val="0"/>
      <w:widowControl w:val="1"/>
      <w:shd w:val="clear" w:color="auto" w:fill="auto"/>
      <w:suppressAutoHyphens w:val="0"/>
      <w:bidi w:val="0"/>
      <w:spacing w:before="240" w:after="60" w:line="240" w:lineRule="auto"/>
      <w:ind w:left="0" w:right="0" w:firstLine="0"/>
      <w:jc w:val="left"/>
      <w:outlineLvl w:val="0"/>
    </w:pPr>
    <w:rPr>
      <w:rFonts w:ascii="Times New Roman" w:cs="Times New Roman" w:hAnsi="Times New Roman" w:eastAsia="Times New Roman"/>
      <w:b w:val="1"/>
      <w:bCs w:val="1"/>
      <w:i w:val="0"/>
      <w:iCs w:val="0"/>
      <w:caps w:val="0"/>
      <w:smallCaps w:val="0"/>
      <w:strike w:val="0"/>
      <w:dstrike w:val="0"/>
      <w:outline w:val="0"/>
      <w:color w:val="000000"/>
      <w:spacing w:val="0"/>
      <w:kern w:val="2"/>
      <w:position w:val="0"/>
      <w:sz w:val="24"/>
      <w:szCs w:val="24"/>
      <w:u w:val="none" w:color="000000"/>
      <w:shd w:val="nil" w:color="auto" w:fill="auto"/>
      <w:vertAlign w:val="baseline"/>
      <w:lang w:val="en-US"/>
      <w14:textFill>
        <w14:solidFill>
          <w14:srgbClr w14:val="000000"/>
        </w14:solidFill>
      </w14:textFill>
    </w:rPr>
  </w:style>
  <w:style w:type="paragraph" w:styleId="Body">
    <w:name w:val="Body"/>
    <w:next w:val="Body"/>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Times New Roman" w:cs="Arial Unicode MS" w:hAnsi="Times New Roman" w:eastAsia="Arial Unicode MS"/>
      <w:b w:val="0"/>
      <w:bCs w:val="0"/>
      <w:i w:val="0"/>
      <w:iCs w:val="0"/>
      <w:caps w:val="0"/>
      <w:smallCaps w:val="0"/>
      <w:strike w:val="0"/>
      <w:dstrike w:val="0"/>
      <w:outline w:val="0"/>
      <w:color w:val="000000"/>
      <w:spacing w:val="0"/>
      <w:kern w:val="0"/>
      <w:position w:val="0"/>
      <w:sz w:val="24"/>
      <w:szCs w:val="24"/>
      <w:u w:val="none" w:color="ffffff"/>
      <w:shd w:val="nil" w:color="auto" w:fill="auto"/>
      <w:vertAlign w:val="baseline"/>
      <w:lang w:val="en-US"/>
      <w14:textOutline>
        <w14:noFill/>
      </w14:textOutline>
      <w14:textFill>
        <w14:solidFill>
          <w14:srgbClr w14:val="000000"/>
        </w14:solidFill>
      </w14:textFill>
    </w:rPr>
  </w:style>
  <w:style w:type="paragraph" w:styleId="Default">
    <w:name w:val="Default"/>
    <w:next w:val="Default"/>
    <w:pPr>
      <w:keepNext w:val="0"/>
      <w:keepLines w:val="0"/>
      <w:pageBreakBefore w:val="0"/>
      <w:widowControl w:val="1"/>
      <w:shd w:val="clear" w:color="auto" w:fill="auto"/>
      <w:suppressAutoHyphens w:val="0"/>
      <w:bidi w:val="0"/>
      <w:spacing w:before="160" w:after="0" w:line="288"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4"/>
      <w:szCs w:val="24"/>
      <w:u w:val="none" w:color="ffffff"/>
      <w:shd w:val="nil" w:color="auto" w:fill="auto"/>
      <w:vertAlign w:val="baseline"/>
      <w:lang w:val="en-US"/>
      <w14:textOutline w14:w="12700" w14:cap="flat">
        <w14:noFill/>
        <w14:miter w14:lim="400000"/>
      </w14:textOutline>
      <w14:textFill>
        <w14:solidFill>
          <w14:srgbClr w14:val="000000"/>
        </w14:solidFill>
      </w14:textFill>
    </w:rPr>
  </w:style>
  <w:style w:type="character" w:styleId="Link">
    <w:name w:val="Link"/>
    <w:rPr>
      <w:outline w:val="0"/>
      <w:color w:val="0000ff"/>
      <w:u w:val="single" w:color="ffffff"/>
      <w14:textFill>
        <w14:solidFill>
          <w14:srgbClr w14:val="0000FF"/>
        </w14:solidFill>
      </w14:textFill>
    </w:rPr>
  </w:style>
  <w:style w:type="character" w:styleId="Hyperlink.1">
    <w:name w:val="Hyperlink.1"/>
    <w:basedOn w:val="Link"/>
    <w:next w:val="Hyperlink.1"/>
    <w:rPr>
      <w:outline w:val="0"/>
      <w:color w:val="000000"/>
      <w14:textFill>
        <w14:solidFill>
          <w14:srgbClr w14:val="000000"/>
        </w14:solidFill>
      </w14:textFill>
    </w:rPr>
  </w:style>
</w:styles>
</file>

<file path=word/_rels/document.xml.rels><?xml version="1.0" encoding="UTF-8"?>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png"/><Relationship Id="rId5" Type="http://schemas.openxmlformats.org/officeDocument/2006/relationships/image" Target="media/image2.png"/><Relationship Id="rId6" Type="http://schemas.openxmlformats.org/officeDocument/2006/relationships/image" Target="media/image3.png"/><Relationship Id="rId7" Type="http://schemas.openxmlformats.org/officeDocument/2006/relationships/image" Target="media/image4.png"/><Relationship Id="rId8" Type="http://schemas.openxmlformats.org/officeDocument/2006/relationships/image" Target="media/image5.png"/><Relationship Id="rId9" Type="http://schemas.openxmlformats.org/officeDocument/2006/relationships/image" Target="media/image6.png"/><Relationship Id="rId10" Type="http://schemas.openxmlformats.org/officeDocument/2006/relationships/image" Target="media/image7.png"/><Relationship Id="rId11" Type="http://schemas.openxmlformats.org/officeDocument/2006/relationships/image" Target="media/image8.png"/><Relationship Id="rId12" Type="http://schemas.openxmlformats.org/officeDocument/2006/relationships/image" Target="media/image9.png"/><Relationship Id="rId13" Type="http://schemas.openxmlformats.org/officeDocument/2006/relationships/image" Target="media/image10.png"/><Relationship Id="rId14" Type="http://schemas.openxmlformats.org/officeDocument/2006/relationships/image" Target="media/image1.tif"/><Relationship Id="rId15" Type="http://schemas.openxmlformats.org/officeDocument/2006/relationships/image" Target="media/image11.png"/><Relationship Id="rId16" Type="http://schemas.openxmlformats.org/officeDocument/2006/relationships/header" Target="header1.xml"/><Relationship Id="rId17" Type="http://schemas.openxmlformats.org/officeDocument/2006/relationships/footer" Target="footer1.xml"/><Relationship Id="rId18" Type="http://schemas.openxmlformats.org/officeDocument/2006/relationships/theme" Target="theme/theme1.xml"/></Relationships>

</file>

<file path=word/theme/theme1.xml><?xml version="1.0" encoding="utf-8"?>
<a:theme xmlns:a="http://schemas.openxmlformats.org/drawingml/2006/main" xmlns:r="http://schemas.openxmlformats.org/officeDocument/2006/relationships" name="Office Theme">
  <a:themeElements>
    <a:clrScheme name="Office Theme">
      <a:dk1>
        <a:srgbClr val="000000"/>
      </a:dk1>
      <a:lt1>
        <a:srgbClr val="FFFFFF"/>
      </a:lt1>
      <a:dk2>
        <a:srgbClr val="A7A7A7"/>
      </a:dk2>
      <a:lt2>
        <a:srgbClr val="535353"/>
      </a:lt2>
      <a:accent1>
        <a:srgbClr val="5B9BD5"/>
      </a:accent1>
      <a:accent2>
        <a:srgbClr val="ED7D31"/>
      </a:accent2>
      <a:accent3>
        <a:srgbClr val="A5A5A5"/>
      </a:accent3>
      <a:accent4>
        <a:srgbClr val="FFC000"/>
      </a:accent4>
      <a:accent5>
        <a:srgbClr val="4472C4"/>
      </a:accent5>
      <a:accent6>
        <a:srgbClr val="70AD47"/>
      </a:accent6>
      <a:hlink>
        <a:srgbClr val="0000FF"/>
      </a:hlink>
      <a:folHlink>
        <a:srgbClr val="FF00FF"/>
      </a:folHlink>
    </a:clrScheme>
    <a:fontScheme name="Office Theme">
      <a:majorFont>
        <a:latin typeface="Helvetica Neue"/>
        <a:ea typeface="Helvetica Neue"/>
        <a:cs typeface="Helvetica Neue"/>
      </a:majorFont>
      <a:minorFont>
        <a:latin typeface="Helvetica Neue"/>
        <a:ea typeface="Helvetica Neue"/>
        <a:cs typeface="Helvetica Neue"/>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45718" tIns="45718" rIns="45718" bIns="45718" numCol="1" spcCol="38100" rtlCol="0" anchor="ctr"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45718" tIns="45718" rIns="45718" bIns="45718" numCol="1" spcCol="38100" rtlCol="0" anchor="t"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